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499" w:rsidRPr="00350499" w:rsidRDefault="00350499" w:rsidP="00350499">
      <w:pPr>
        <w:spacing w:line="360" w:lineRule="auto"/>
        <w:jc w:val="both"/>
        <w:rPr>
          <w:rFonts w:ascii="Times New Roman" w:hAnsi="Times New Roman" w:cs="Times New Roman"/>
          <w:b/>
          <w:sz w:val="24"/>
        </w:rPr>
      </w:pPr>
      <w:r>
        <w:rPr>
          <w:rFonts w:ascii="Times New Roman" w:hAnsi="Times New Roman" w:cs="Times New Roman"/>
          <w:b/>
          <w:sz w:val="24"/>
        </w:rPr>
        <w:t xml:space="preserve">7.1.1 </w:t>
      </w:r>
      <w:r w:rsidRPr="00350499">
        <w:rPr>
          <w:rFonts w:ascii="Times New Roman" w:hAnsi="Times New Roman" w:cs="Times New Roman"/>
          <w:b/>
          <w:sz w:val="24"/>
        </w:rPr>
        <w:t>Annual Gender Sensitization Action Plan (2023-2024)</w:t>
      </w:r>
    </w:p>
    <w:p w:rsidR="00CA4FD8" w:rsidRDefault="00CA4FD8" w:rsidP="00643E6E">
      <w:pPr>
        <w:jc w:val="both"/>
        <w:rPr>
          <w:rFonts w:ascii="Times New Roman" w:hAnsi="Times New Roman" w:cs="Times New Roman"/>
          <w:sz w:val="24"/>
        </w:rPr>
      </w:pPr>
      <w:r>
        <w:rPr>
          <w:rFonts w:ascii="Times New Roman" w:hAnsi="Times New Roman" w:cs="Times New Roman"/>
          <w:sz w:val="24"/>
        </w:rPr>
        <w:t>As</w:t>
      </w:r>
      <w:r w:rsidRPr="00CA4FD8">
        <w:rPr>
          <w:rFonts w:ascii="Times New Roman" w:hAnsi="Times New Roman" w:cs="Times New Roman"/>
          <w:sz w:val="24"/>
        </w:rPr>
        <w:t xml:space="preserve"> a co-educational institution that focuses on gender equity through policies,</w:t>
      </w:r>
      <w:r>
        <w:rPr>
          <w:rFonts w:ascii="Times New Roman" w:hAnsi="Times New Roman" w:cs="Times New Roman"/>
          <w:sz w:val="24"/>
        </w:rPr>
        <w:t xml:space="preserve"> programs, and infrastructure, t</w:t>
      </w:r>
      <w:r w:rsidRPr="00CA4FD8">
        <w:rPr>
          <w:rFonts w:ascii="Times New Roman" w:hAnsi="Times New Roman" w:cs="Times New Roman"/>
          <w:sz w:val="24"/>
        </w:rPr>
        <w:t>he institution ensures inclusivity, fairness, and equal opportunities for all genders, with employment decisions based on qualifications and performance. Gender equity is maintained in academic and extracurricular activities, with equal participation for all genders in classroom learning, practical assignments, project work, industry tours, and cultural events. The institution conducts awareness programs, supports gender sensitization, and provides safety measures like 24/7 CCTV surveillance, security guards, fire safety measures, and regular fire drills. Medical facilities offer essential health services and dedicated facilities for mental health support, with separate common rooms and gymnasiums for boys and girls.</w:t>
      </w:r>
    </w:p>
    <w:p w:rsidR="00643E6E" w:rsidRPr="00CA4FD8" w:rsidRDefault="00643E6E" w:rsidP="00643E6E">
      <w:pPr>
        <w:jc w:val="both"/>
        <w:rPr>
          <w:rFonts w:ascii="Times New Roman" w:hAnsi="Times New Roman" w:cs="Times New Roman"/>
          <w:sz w:val="24"/>
        </w:rPr>
      </w:pPr>
      <w:r w:rsidRPr="00CA4FD8">
        <w:rPr>
          <w:rFonts w:ascii="Times New Roman" w:hAnsi="Times New Roman" w:cs="Times New Roman"/>
          <w:sz w:val="24"/>
        </w:rPr>
        <w:t>The institution’s action plan focuses on promoting awareness and inclusivity through:</w:t>
      </w:r>
    </w:p>
    <w:p w:rsidR="00643E6E" w:rsidRPr="00CA4FD8" w:rsidRDefault="00643E6E" w:rsidP="00643E6E">
      <w:pPr>
        <w:pStyle w:val="ListParagraph"/>
        <w:numPr>
          <w:ilvl w:val="0"/>
          <w:numId w:val="2"/>
        </w:numPr>
        <w:jc w:val="both"/>
        <w:rPr>
          <w:rFonts w:ascii="Times New Roman" w:hAnsi="Times New Roman" w:cs="Times New Roman"/>
          <w:sz w:val="24"/>
        </w:rPr>
      </w:pPr>
      <w:r w:rsidRPr="00CA4FD8">
        <w:rPr>
          <w:rFonts w:ascii="Times New Roman" w:hAnsi="Times New Roman" w:cs="Times New Roman"/>
          <w:sz w:val="24"/>
        </w:rPr>
        <w:t>Awareness Programs: Workshops and seminars on gender equality and stereotype challenges.</w:t>
      </w:r>
    </w:p>
    <w:p w:rsidR="00643E6E" w:rsidRPr="00CA4FD8" w:rsidRDefault="00643E6E" w:rsidP="00643E6E">
      <w:pPr>
        <w:pStyle w:val="ListParagraph"/>
        <w:numPr>
          <w:ilvl w:val="0"/>
          <w:numId w:val="2"/>
        </w:numPr>
        <w:jc w:val="both"/>
        <w:rPr>
          <w:rFonts w:ascii="Times New Roman" w:hAnsi="Times New Roman" w:cs="Times New Roman"/>
          <w:sz w:val="24"/>
        </w:rPr>
      </w:pPr>
      <w:r w:rsidRPr="00CA4FD8">
        <w:rPr>
          <w:rFonts w:ascii="Times New Roman" w:hAnsi="Times New Roman" w:cs="Times New Roman"/>
          <w:sz w:val="24"/>
        </w:rPr>
        <w:t>Health and Wellness Initiatives: Yoga sessions, health camps, and blood donation drives for holistic care.</w:t>
      </w:r>
    </w:p>
    <w:p w:rsidR="00643E6E" w:rsidRPr="00CA4FD8" w:rsidRDefault="00643E6E" w:rsidP="00643E6E">
      <w:pPr>
        <w:pStyle w:val="ListParagraph"/>
        <w:numPr>
          <w:ilvl w:val="0"/>
          <w:numId w:val="2"/>
        </w:numPr>
        <w:jc w:val="both"/>
        <w:rPr>
          <w:rFonts w:ascii="Times New Roman" w:hAnsi="Times New Roman" w:cs="Times New Roman"/>
          <w:sz w:val="24"/>
        </w:rPr>
      </w:pPr>
      <w:r w:rsidRPr="00CA4FD8">
        <w:rPr>
          <w:rFonts w:ascii="Times New Roman" w:hAnsi="Times New Roman" w:cs="Times New Roman"/>
          <w:sz w:val="24"/>
        </w:rPr>
        <w:t>Skill Development and Grooming: Programs to enhance confidence and practical life skills.</w:t>
      </w:r>
    </w:p>
    <w:p w:rsidR="00643E6E" w:rsidRPr="00CA4FD8" w:rsidRDefault="00643E6E" w:rsidP="00643E6E">
      <w:pPr>
        <w:pStyle w:val="ListParagraph"/>
        <w:numPr>
          <w:ilvl w:val="0"/>
          <w:numId w:val="2"/>
        </w:numPr>
        <w:jc w:val="both"/>
        <w:rPr>
          <w:rFonts w:ascii="Times New Roman" w:hAnsi="Times New Roman" w:cs="Times New Roman"/>
          <w:sz w:val="24"/>
        </w:rPr>
      </w:pPr>
      <w:r w:rsidRPr="00CA4FD8">
        <w:rPr>
          <w:rFonts w:ascii="Times New Roman" w:hAnsi="Times New Roman" w:cs="Times New Roman"/>
          <w:sz w:val="24"/>
        </w:rPr>
        <w:t>Collaborative Activities: Cross-departmental efforts for seamless implementation of gender-focused initiatives.</w:t>
      </w:r>
    </w:p>
    <w:p w:rsidR="00643E6E" w:rsidRDefault="00643E6E" w:rsidP="00643E6E">
      <w:pPr>
        <w:jc w:val="both"/>
        <w:rPr>
          <w:rFonts w:ascii="Times New Roman" w:hAnsi="Times New Roman" w:cs="Times New Roman"/>
          <w:sz w:val="24"/>
          <w:szCs w:val="24"/>
        </w:rPr>
      </w:pPr>
      <w:r w:rsidRPr="00CA4FD8">
        <w:rPr>
          <w:rFonts w:ascii="Times New Roman" w:hAnsi="Times New Roman" w:cs="Times New Roman"/>
          <w:sz w:val="24"/>
        </w:rPr>
        <w:t>Through these measures, BCRCP has successfully created an inclusive and equitable environment, ensuring equal participation, safety, and opportunities for all genders.</w:t>
      </w:r>
      <w:r w:rsidR="00F25116">
        <w:rPr>
          <w:rFonts w:ascii="Times New Roman" w:hAnsi="Times New Roman" w:cs="Times New Roman"/>
          <w:sz w:val="24"/>
        </w:rPr>
        <w:t xml:space="preserve"> </w:t>
      </w:r>
      <w:r w:rsidR="00F25116">
        <w:rPr>
          <w:rFonts w:ascii="Times New Roman" w:hAnsi="Times New Roman" w:cs="Times New Roman"/>
          <w:sz w:val="24"/>
          <w:szCs w:val="24"/>
        </w:rPr>
        <w:t xml:space="preserve">Dissemination of Gender Equality Information: </w:t>
      </w:r>
      <w:hyperlink r:id="rId6" w:history="1">
        <w:r w:rsidR="00F25116" w:rsidRPr="00EE19AA">
          <w:rPr>
            <w:rStyle w:val="Hyperlink"/>
            <w:rFonts w:ascii="Times New Roman" w:hAnsi="Times New Roman" w:cs="Times New Roman"/>
            <w:sz w:val="24"/>
            <w:szCs w:val="24"/>
          </w:rPr>
          <w:t>https://bcrcp.ac.in/gender-equality/</w:t>
        </w:r>
      </w:hyperlink>
      <w:r w:rsidR="00F25116">
        <w:rPr>
          <w:rFonts w:ascii="Times New Roman" w:hAnsi="Times New Roman" w:cs="Times New Roman"/>
          <w:sz w:val="24"/>
          <w:szCs w:val="24"/>
        </w:rPr>
        <w:t xml:space="preserve"> </w:t>
      </w:r>
    </w:p>
    <w:p w:rsidR="00A9719D" w:rsidRDefault="00A9719D" w:rsidP="00643E6E">
      <w:pPr>
        <w:jc w:val="both"/>
        <w:rPr>
          <w:rFonts w:ascii="Times New Roman" w:hAnsi="Times New Roman" w:cs="Times New Roman"/>
          <w:sz w:val="24"/>
          <w:szCs w:val="24"/>
        </w:rPr>
      </w:pPr>
    </w:p>
    <w:p w:rsidR="001F1F1D" w:rsidRDefault="001F1F1D" w:rsidP="00643E6E">
      <w:pPr>
        <w:jc w:val="both"/>
        <w:rPr>
          <w:rFonts w:ascii="Times New Roman" w:hAnsi="Times New Roman" w:cs="Times New Roman"/>
          <w:b/>
          <w:sz w:val="24"/>
        </w:rPr>
      </w:pPr>
    </w:p>
    <w:p w:rsidR="001F1F1D" w:rsidRDefault="001F1F1D" w:rsidP="00643E6E">
      <w:pPr>
        <w:jc w:val="both"/>
        <w:rPr>
          <w:rFonts w:ascii="Times New Roman" w:hAnsi="Times New Roman" w:cs="Times New Roman"/>
          <w:b/>
          <w:sz w:val="24"/>
        </w:rPr>
      </w:pPr>
    </w:p>
    <w:p w:rsidR="001F1F1D" w:rsidRDefault="001F1F1D" w:rsidP="00643E6E">
      <w:pPr>
        <w:jc w:val="both"/>
        <w:rPr>
          <w:rFonts w:ascii="Times New Roman" w:hAnsi="Times New Roman" w:cs="Times New Roman"/>
          <w:b/>
          <w:sz w:val="24"/>
        </w:rPr>
      </w:pPr>
    </w:p>
    <w:p w:rsidR="001F1F1D" w:rsidRDefault="001F1F1D" w:rsidP="00643E6E">
      <w:pPr>
        <w:jc w:val="both"/>
        <w:rPr>
          <w:rFonts w:ascii="Times New Roman" w:hAnsi="Times New Roman" w:cs="Times New Roman"/>
          <w:b/>
          <w:sz w:val="24"/>
        </w:rPr>
      </w:pPr>
    </w:p>
    <w:p w:rsidR="001F1F1D" w:rsidRDefault="001F1F1D" w:rsidP="00643E6E">
      <w:pPr>
        <w:jc w:val="both"/>
        <w:rPr>
          <w:rFonts w:ascii="Times New Roman" w:hAnsi="Times New Roman" w:cs="Times New Roman"/>
          <w:b/>
          <w:sz w:val="24"/>
        </w:rPr>
      </w:pPr>
    </w:p>
    <w:p w:rsidR="001F1F1D" w:rsidRDefault="001F1F1D" w:rsidP="00643E6E">
      <w:pPr>
        <w:jc w:val="both"/>
        <w:rPr>
          <w:rFonts w:ascii="Times New Roman" w:hAnsi="Times New Roman" w:cs="Times New Roman"/>
          <w:b/>
          <w:sz w:val="24"/>
        </w:rPr>
      </w:pPr>
    </w:p>
    <w:p w:rsidR="001F1F1D" w:rsidRDefault="001F1F1D" w:rsidP="00643E6E">
      <w:pPr>
        <w:jc w:val="both"/>
        <w:rPr>
          <w:rFonts w:ascii="Times New Roman" w:hAnsi="Times New Roman" w:cs="Times New Roman"/>
          <w:b/>
          <w:sz w:val="24"/>
        </w:rPr>
      </w:pPr>
    </w:p>
    <w:p w:rsidR="001F1F1D" w:rsidRDefault="001F1F1D" w:rsidP="00643E6E">
      <w:pPr>
        <w:jc w:val="both"/>
        <w:rPr>
          <w:rFonts w:ascii="Times New Roman" w:hAnsi="Times New Roman" w:cs="Times New Roman"/>
          <w:b/>
          <w:sz w:val="24"/>
        </w:rPr>
      </w:pPr>
    </w:p>
    <w:p w:rsidR="00A9719D" w:rsidRDefault="00A9719D" w:rsidP="00643E6E">
      <w:pPr>
        <w:jc w:val="both"/>
        <w:rPr>
          <w:rFonts w:ascii="Times New Roman" w:hAnsi="Times New Roman" w:cs="Times New Roman"/>
          <w:b/>
          <w:sz w:val="24"/>
        </w:rPr>
      </w:pPr>
      <w:r w:rsidRPr="00A9719D">
        <w:rPr>
          <w:rFonts w:ascii="Times New Roman" w:hAnsi="Times New Roman" w:cs="Times New Roman"/>
          <w:b/>
          <w:sz w:val="24"/>
        </w:rPr>
        <w:lastRenderedPageBreak/>
        <w:t>7.1.3 Describe the facilities in the Institution for the management of the following types of degradable and non-degradable waste (within 200 words)</w:t>
      </w:r>
    </w:p>
    <w:p w:rsidR="00A9719D" w:rsidRPr="004E24E5" w:rsidRDefault="00A9719D" w:rsidP="004E24E5">
      <w:pPr>
        <w:pStyle w:val="ListParagraph"/>
        <w:numPr>
          <w:ilvl w:val="0"/>
          <w:numId w:val="4"/>
        </w:numPr>
        <w:jc w:val="both"/>
        <w:rPr>
          <w:rFonts w:ascii="Times New Roman" w:hAnsi="Times New Roman" w:cs="Times New Roman"/>
          <w:sz w:val="24"/>
        </w:rPr>
      </w:pPr>
      <w:r w:rsidRPr="004E24E5">
        <w:rPr>
          <w:rFonts w:ascii="Times New Roman" w:hAnsi="Times New Roman" w:cs="Times New Roman"/>
          <w:sz w:val="24"/>
        </w:rPr>
        <w:t>On campus, BCRCP has adopted environmentally friendly waste management procedures. The Durgapur Municipal Corporation (DMC) regularly v</w:t>
      </w:r>
      <w:r w:rsidR="00562B95">
        <w:rPr>
          <w:rFonts w:ascii="Times New Roman" w:hAnsi="Times New Roman" w:cs="Times New Roman"/>
          <w:sz w:val="24"/>
        </w:rPr>
        <w:t xml:space="preserve">isits to collect solid garbage </w:t>
      </w:r>
      <w:r w:rsidRPr="004E24E5">
        <w:rPr>
          <w:rFonts w:ascii="Times New Roman" w:hAnsi="Times New Roman" w:cs="Times New Roman"/>
          <w:sz w:val="24"/>
        </w:rPr>
        <w:t>separated into blue and green bins. Composting bins are used to collect decomposable solid waste for use in gardens. To repurpose garden trash and turn it into manure, green bins are utilized as compost bins.</w:t>
      </w:r>
    </w:p>
    <w:p w:rsidR="00A9719D" w:rsidRPr="004E24E5" w:rsidRDefault="00A9719D" w:rsidP="004E24E5">
      <w:pPr>
        <w:pStyle w:val="ListParagraph"/>
        <w:numPr>
          <w:ilvl w:val="0"/>
          <w:numId w:val="4"/>
        </w:numPr>
        <w:jc w:val="both"/>
        <w:rPr>
          <w:rFonts w:ascii="Times New Roman" w:hAnsi="Times New Roman" w:cs="Times New Roman"/>
          <w:sz w:val="24"/>
        </w:rPr>
      </w:pPr>
      <w:r w:rsidRPr="004E24E5">
        <w:rPr>
          <w:rFonts w:ascii="Times New Roman" w:hAnsi="Times New Roman" w:cs="Times New Roman"/>
          <w:sz w:val="24"/>
        </w:rPr>
        <w:t>An efficient sewage system handles liquid waste, with washbasins, sinks, and toilets all sending their outflows into subterranean collection pits.</w:t>
      </w:r>
    </w:p>
    <w:p w:rsidR="00A9719D" w:rsidRPr="004E24E5" w:rsidRDefault="00A9719D" w:rsidP="004E24E5">
      <w:pPr>
        <w:pStyle w:val="ListParagraph"/>
        <w:numPr>
          <w:ilvl w:val="0"/>
          <w:numId w:val="4"/>
        </w:numPr>
        <w:jc w:val="both"/>
        <w:rPr>
          <w:rFonts w:ascii="Times New Roman" w:hAnsi="Times New Roman" w:cs="Times New Roman"/>
          <w:sz w:val="24"/>
        </w:rPr>
      </w:pPr>
      <w:r w:rsidRPr="004E24E5">
        <w:rPr>
          <w:rFonts w:ascii="Times New Roman" w:hAnsi="Times New Roman" w:cs="Times New Roman"/>
          <w:sz w:val="24"/>
        </w:rPr>
        <w:t>Biomedical waste is gathered in red bins in polybags at the Medical Center, Animal House, PMBJK, Microbiology Lab, Anatomy &amp; Physiology Lab, and Girls' restrooms. The filled bags are given to the DMC collecting van separately after being labeled appropriately.</w:t>
      </w:r>
    </w:p>
    <w:p w:rsidR="00A9719D" w:rsidRPr="004E24E5" w:rsidRDefault="00A9719D" w:rsidP="004E24E5">
      <w:pPr>
        <w:pStyle w:val="ListParagraph"/>
        <w:numPr>
          <w:ilvl w:val="0"/>
          <w:numId w:val="4"/>
        </w:numPr>
        <w:jc w:val="both"/>
        <w:rPr>
          <w:rFonts w:ascii="Times New Roman" w:hAnsi="Times New Roman" w:cs="Times New Roman"/>
          <w:sz w:val="24"/>
        </w:rPr>
      </w:pPr>
      <w:r w:rsidRPr="004E24E5">
        <w:rPr>
          <w:rFonts w:ascii="Times New Roman" w:hAnsi="Times New Roman" w:cs="Times New Roman"/>
          <w:sz w:val="24"/>
        </w:rPr>
        <w:t>Black trash cans are positioned thoughtfully throughout campus, and e-waste is recycled, repaired, and repurposed. Suppliers change, fix, or recharge computer batteries, printer cartridges, and peripherals are disposed of based on social standards.</w:t>
      </w:r>
    </w:p>
    <w:p w:rsidR="00A9719D" w:rsidRPr="004E24E5" w:rsidRDefault="00A9719D" w:rsidP="004E24E5">
      <w:pPr>
        <w:pStyle w:val="ListParagraph"/>
        <w:numPr>
          <w:ilvl w:val="0"/>
          <w:numId w:val="4"/>
        </w:numPr>
        <w:jc w:val="both"/>
        <w:rPr>
          <w:rFonts w:ascii="Times New Roman" w:hAnsi="Times New Roman" w:cs="Times New Roman"/>
          <w:sz w:val="24"/>
        </w:rPr>
      </w:pPr>
      <w:r w:rsidRPr="004E24E5">
        <w:rPr>
          <w:rFonts w:ascii="Times New Roman" w:hAnsi="Times New Roman" w:cs="Times New Roman"/>
          <w:sz w:val="24"/>
        </w:rPr>
        <w:t>Runoff water from rooftops is collected by the college's rainwater collection system and used for irrigation.</w:t>
      </w:r>
    </w:p>
    <w:p w:rsidR="00A9719D" w:rsidRDefault="00A9719D" w:rsidP="004E24E5">
      <w:pPr>
        <w:pStyle w:val="ListParagraph"/>
        <w:numPr>
          <w:ilvl w:val="0"/>
          <w:numId w:val="4"/>
        </w:numPr>
        <w:jc w:val="both"/>
        <w:rPr>
          <w:rFonts w:ascii="Times New Roman" w:hAnsi="Times New Roman" w:cs="Times New Roman"/>
          <w:sz w:val="24"/>
        </w:rPr>
      </w:pPr>
      <w:r w:rsidRPr="004E24E5">
        <w:rPr>
          <w:rFonts w:ascii="Times New Roman" w:hAnsi="Times New Roman" w:cs="Times New Roman"/>
          <w:sz w:val="24"/>
        </w:rPr>
        <w:t xml:space="preserve">Because strong acids and bases are diluted to maintain a pH between 5 and 10.5 before </w:t>
      </w:r>
      <w:r w:rsidR="00562B95">
        <w:rPr>
          <w:rFonts w:ascii="Times New Roman" w:hAnsi="Times New Roman" w:cs="Times New Roman"/>
          <w:sz w:val="24"/>
        </w:rPr>
        <w:t xml:space="preserve">being disposed of in drainage, </w:t>
      </w:r>
      <w:r w:rsidRPr="004E24E5">
        <w:rPr>
          <w:rFonts w:ascii="Times New Roman" w:hAnsi="Times New Roman" w:cs="Times New Roman"/>
          <w:sz w:val="24"/>
        </w:rPr>
        <w:t>college does not produce radioactive waste as a result of its operations.</w:t>
      </w:r>
    </w:p>
    <w:p w:rsidR="001F1F1D" w:rsidRDefault="001F1F1D" w:rsidP="003255C3">
      <w:pPr>
        <w:jc w:val="both"/>
        <w:rPr>
          <w:rFonts w:ascii="Times New Roman" w:hAnsi="Times New Roman" w:cs="Times New Roman"/>
          <w:b/>
          <w:sz w:val="24"/>
        </w:rPr>
      </w:pPr>
    </w:p>
    <w:p w:rsidR="001F1F1D" w:rsidRDefault="001F1F1D" w:rsidP="003255C3">
      <w:pPr>
        <w:jc w:val="both"/>
        <w:rPr>
          <w:rFonts w:ascii="Times New Roman" w:hAnsi="Times New Roman" w:cs="Times New Roman"/>
          <w:b/>
          <w:sz w:val="24"/>
        </w:rPr>
      </w:pPr>
    </w:p>
    <w:p w:rsidR="001F1F1D" w:rsidRDefault="001F1F1D" w:rsidP="003255C3">
      <w:pPr>
        <w:jc w:val="both"/>
        <w:rPr>
          <w:rFonts w:ascii="Times New Roman" w:hAnsi="Times New Roman" w:cs="Times New Roman"/>
          <w:b/>
          <w:sz w:val="24"/>
        </w:rPr>
      </w:pPr>
    </w:p>
    <w:p w:rsidR="001F1F1D" w:rsidRDefault="001F1F1D" w:rsidP="003255C3">
      <w:pPr>
        <w:jc w:val="both"/>
        <w:rPr>
          <w:rFonts w:ascii="Times New Roman" w:hAnsi="Times New Roman" w:cs="Times New Roman"/>
          <w:b/>
          <w:sz w:val="24"/>
        </w:rPr>
      </w:pPr>
    </w:p>
    <w:p w:rsidR="001F1F1D" w:rsidRDefault="001F1F1D" w:rsidP="003255C3">
      <w:pPr>
        <w:jc w:val="both"/>
        <w:rPr>
          <w:rFonts w:ascii="Times New Roman" w:hAnsi="Times New Roman" w:cs="Times New Roman"/>
          <w:b/>
          <w:sz w:val="24"/>
        </w:rPr>
      </w:pPr>
    </w:p>
    <w:p w:rsidR="001F1F1D" w:rsidRDefault="001F1F1D" w:rsidP="003255C3">
      <w:pPr>
        <w:jc w:val="both"/>
        <w:rPr>
          <w:rFonts w:ascii="Times New Roman" w:hAnsi="Times New Roman" w:cs="Times New Roman"/>
          <w:b/>
          <w:sz w:val="24"/>
        </w:rPr>
      </w:pPr>
    </w:p>
    <w:p w:rsidR="001F1F1D" w:rsidRDefault="001F1F1D" w:rsidP="003255C3">
      <w:pPr>
        <w:jc w:val="both"/>
        <w:rPr>
          <w:rFonts w:ascii="Times New Roman" w:hAnsi="Times New Roman" w:cs="Times New Roman"/>
          <w:b/>
          <w:sz w:val="24"/>
        </w:rPr>
      </w:pPr>
    </w:p>
    <w:p w:rsidR="001F1F1D" w:rsidRDefault="001F1F1D" w:rsidP="003255C3">
      <w:pPr>
        <w:jc w:val="both"/>
        <w:rPr>
          <w:rFonts w:ascii="Times New Roman" w:hAnsi="Times New Roman" w:cs="Times New Roman"/>
          <w:b/>
          <w:sz w:val="24"/>
        </w:rPr>
      </w:pPr>
    </w:p>
    <w:p w:rsidR="001F1F1D" w:rsidRDefault="001F1F1D" w:rsidP="003255C3">
      <w:pPr>
        <w:jc w:val="both"/>
        <w:rPr>
          <w:rFonts w:ascii="Times New Roman" w:hAnsi="Times New Roman" w:cs="Times New Roman"/>
          <w:b/>
          <w:sz w:val="24"/>
        </w:rPr>
      </w:pPr>
    </w:p>
    <w:p w:rsidR="001F1F1D" w:rsidRDefault="001F1F1D" w:rsidP="003255C3">
      <w:pPr>
        <w:jc w:val="both"/>
        <w:rPr>
          <w:rFonts w:ascii="Times New Roman" w:hAnsi="Times New Roman" w:cs="Times New Roman"/>
          <w:b/>
          <w:sz w:val="24"/>
        </w:rPr>
      </w:pPr>
    </w:p>
    <w:p w:rsidR="00127FAD" w:rsidRDefault="003255C3" w:rsidP="003255C3">
      <w:pPr>
        <w:jc w:val="both"/>
        <w:rPr>
          <w:rFonts w:ascii="Times New Roman" w:hAnsi="Times New Roman" w:cs="Times New Roman"/>
          <w:b/>
          <w:sz w:val="24"/>
        </w:rPr>
      </w:pPr>
      <w:r w:rsidRPr="003255C3">
        <w:rPr>
          <w:rFonts w:ascii="Times New Roman" w:hAnsi="Times New Roman" w:cs="Times New Roman"/>
          <w:b/>
          <w:sz w:val="24"/>
        </w:rPr>
        <w:lastRenderedPageBreak/>
        <w:t>7.1.8 Describe the Institutional efforts/initiatives in providing an inclusive environment i.e., tolerance and harmony towards cultural, regional, linguistic, communal socioeconomic and other diversities (200 words)</w:t>
      </w:r>
    </w:p>
    <w:p w:rsidR="003255C3" w:rsidRPr="003255C3" w:rsidRDefault="003255C3" w:rsidP="003255C3">
      <w:pPr>
        <w:jc w:val="both"/>
        <w:rPr>
          <w:rFonts w:ascii="Times New Roman" w:hAnsi="Times New Roman" w:cs="Times New Roman"/>
          <w:sz w:val="24"/>
        </w:rPr>
      </w:pPr>
      <w:r w:rsidRPr="003255C3">
        <w:rPr>
          <w:rFonts w:ascii="Times New Roman" w:hAnsi="Times New Roman" w:cs="Times New Roman"/>
          <w:sz w:val="24"/>
        </w:rPr>
        <w:t xml:space="preserve">The institution organizes a variety of events and initiatives that emphasize tolerance, harmony, and mutual respect among all stakeholders.  The college celebrates significant occasions like Doctor’s Day, Independence Day, Republic Day, and </w:t>
      </w:r>
      <w:proofErr w:type="spellStart"/>
      <w:r w:rsidRPr="003255C3">
        <w:rPr>
          <w:rFonts w:ascii="Times New Roman" w:hAnsi="Times New Roman" w:cs="Times New Roman"/>
          <w:sz w:val="24"/>
        </w:rPr>
        <w:t>Rabindra</w:t>
      </w:r>
      <w:proofErr w:type="spellEnd"/>
      <w:r w:rsidRPr="003255C3">
        <w:rPr>
          <w:rFonts w:ascii="Times New Roman" w:hAnsi="Times New Roman" w:cs="Times New Roman"/>
          <w:sz w:val="24"/>
        </w:rPr>
        <w:t xml:space="preserve"> Jayanti to honor contributions to society and promote unity. Environmental awareness is encouraged through events like Forest Week and World Environment Day.  </w:t>
      </w:r>
    </w:p>
    <w:p w:rsidR="003255C3" w:rsidRPr="003255C3" w:rsidRDefault="003255C3" w:rsidP="003255C3">
      <w:pPr>
        <w:jc w:val="both"/>
        <w:rPr>
          <w:rFonts w:ascii="Times New Roman" w:hAnsi="Times New Roman" w:cs="Times New Roman"/>
          <w:sz w:val="24"/>
        </w:rPr>
      </w:pPr>
      <w:r w:rsidRPr="003255C3">
        <w:rPr>
          <w:rFonts w:ascii="Times New Roman" w:hAnsi="Times New Roman" w:cs="Times New Roman"/>
          <w:sz w:val="24"/>
        </w:rPr>
        <w:t>Academic and cultural programs such as induction sessions, the Annual Technical Fest “</w:t>
      </w:r>
      <w:proofErr w:type="spellStart"/>
      <w:r w:rsidRPr="003255C3">
        <w:rPr>
          <w:rFonts w:ascii="Times New Roman" w:hAnsi="Times New Roman" w:cs="Times New Roman"/>
          <w:sz w:val="24"/>
        </w:rPr>
        <w:t>Zentech</w:t>
      </w:r>
      <w:proofErr w:type="spellEnd"/>
      <w:r w:rsidRPr="003255C3">
        <w:rPr>
          <w:rFonts w:ascii="Times New Roman" w:hAnsi="Times New Roman" w:cs="Times New Roman"/>
          <w:sz w:val="24"/>
        </w:rPr>
        <w:t xml:space="preserve">,” and cultural celebrations like </w:t>
      </w:r>
      <w:proofErr w:type="spellStart"/>
      <w:r w:rsidRPr="003255C3">
        <w:rPr>
          <w:rFonts w:ascii="Times New Roman" w:hAnsi="Times New Roman" w:cs="Times New Roman"/>
          <w:sz w:val="24"/>
        </w:rPr>
        <w:t>Biswakarma</w:t>
      </w:r>
      <w:proofErr w:type="spellEnd"/>
      <w:r w:rsidRPr="003255C3">
        <w:rPr>
          <w:rFonts w:ascii="Times New Roman" w:hAnsi="Times New Roman" w:cs="Times New Roman"/>
          <w:sz w:val="24"/>
        </w:rPr>
        <w:t xml:space="preserve"> Puja and </w:t>
      </w:r>
      <w:proofErr w:type="spellStart"/>
      <w:r w:rsidRPr="003255C3">
        <w:rPr>
          <w:rFonts w:ascii="Times New Roman" w:hAnsi="Times New Roman" w:cs="Times New Roman"/>
          <w:sz w:val="24"/>
        </w:rPr>
        <w:t>Basant</w:t>
      </w:r>
      <w:proofErr w:type="spellEnd"/>
      <w:r w:rsidRPr="003255C3">
        <w:rPr>
          <w:rFonts w:ascii="Times New Roman" w:hAnsi="Times New Roman" w:cs="Times New Roman"/>
          <w:sz w:val="24"/>
        </w:rPr>
        <w:t xml:space="preserve"> Panchami provide inclusive platforms for intellectual and cultural engagement. Observances like International Mother Language Day highlight linguistic diversity, while workshops on soft skills and business communication address socioeconomic inclusivity.  </w:t>
      </w:r>
    </w:p>
    <w:p w:rsidR="003255C3" w:rsidRPr="003255C3" w:rsidRDefault="003255C3" w:rsidP="003255C3">
      <w:pPr>
        <w:jc w:val="both"/>
        <w:rPr>
          <w:rFonts w:ascii="Times New Roman" w:hAnsi="Times New Roman" w:cs="Times New Roman"/>
          <w:sz w:val="24"/>
        </w:rPr>
      </w:pPr>
      <w:r w:rsidRPr="003255C3">
        <w:rPr>
          <w:rFonts w:ascii="Times New Roman" w:hAnsi="Times New Roman" w:cs="Times New Roman"/>
          <w:sz w:val="24"/>
        </w:rPr>
        <w:t xml:space="preserve">Healthcare and ethical awareness are integrated into events like World Health Day and National Pharmacy Education Day, promoting health equity and education. Programs such as Vigilance Awareness Week and National Youth Day foster gender equity and communal harmony. Additionally, activities like fresher welcomes and farewell ceremonies ensure all students feel valued.  </w:t>
      </w:r>
    </w:p>
    <w:p w:rsidR="00EE47B0" w:rsidRDefault="003255C3" w:rsidP="003255C3">
      <w:pPr>
        <w:jc w:val="both"/>
        <w:rPr>
          <w:rFonts w:ascii="Times New Roman" w:hAnsi="Times New Roman" w:cs="Times New Roman"/>
          <w:sz w:val="24"/>
        </w:rPr>
      </w:pPr>
      <w:r w:rsidRPr="003255C3">
        <w:rPr>
          <w:rFonts w:ascii="Times New Roman" w:hAnsi="Times New Roman" w:cs="Times New Roman"/>
          <w:sz w:val="24"/>
        </w:rPr>
        <w:t>Through these multifaceted initiatives, BCRCP creates a cohesive and harmonious campus culture that celebrates diversity and prepares students to thrive in an inclusive global community.</w:t>
      </w:r>
    </w:p>
    <w:p w:rsidR="00E42525" w:rsidRPr="00E42525" w:rsidRDefault="00E42525" w:rsidP="00E42525">
      <w:pPr>
        <w:jc w:val="both"/>
        <w:rPr>
          <w:rFonts w:ascii="Times New Roman" w:hAnsi="Times New Roman" w:cs="Times New Roman"/>
          <w:b/>
          <w:sz w:val="24"/>
        </w:rPr>
      </w:pPr>
      <w:r w:rsidRPr="00E42525">
        <w:rPr>
          <w:rFonts w:ascii="Times New Roman" w:hAnsi="Times New Roman" w:cs="Times New Roman"/>
          <w:b/>
          <w:sz w:val="24"/>
        </w:rPr>
        <w:t>7.1.9 - Sensitization of students and employees of the Institution to the constitutional obligations:</w:t>
      </w:r>
      <w:r>
        <w:rPr>
          <w:rFonts w:ascii="Times New Roman" w:hAnsi="Times New Roman" w:cs="Times New Roman"/>
          <w:b/>
          <w:sz w:val="24"/>
        </w:rPr>
        <w:t xml:space="preserve"> </w:t>
      </w:r>
      <w:r w:rsidRPr="00E42525">
        <w:rPr>
          <w:rFonts w:ascii="Times New Roman" w:hAnsi="Times New Roman" w:cs="Times New Roman"/>
          <w:b/>
          <w:sz w:val="24"/>
        </w:rPr>
        <w:t>values, rights, duties and responsibilities of citizens</w:t>
      </w:r>
    </w:p>
    <w:p w:rsidR="00FF45DE" w:rsidRDefault="00FF45DE" w:rsidP="00FF45DE">
      <w:pPr>
        <w:spacing w:line="360" w:lineRule="auto"/>
        <w:jc w:val="both"/>
        <w:rPr>
          <w:rFonts w:ascii="Times New Roman" w:hAnsi="Times New Roman" w:cs="Times New Roman"/>
          <w:sz w:val="24"/>
        </w:rPr>
      </w:pPr>
      <w:r w:rsidRPr="00FF45DE">
        <w:rPr>
          <w:rFonts w:ascii="Times New Roman" w:hAnsi="Times New Roman" w:cs="Times New Roman"/>
          <w:sz w:val="24"/>
        </w:rPr>
        <w:t>Republic Day and Independence Day are celebrated annually at the College with great grandeur and ceremony. The principal raises the flag, and then the staff and students sing the national song. Faculty and staff members participate in cultural events, such as singing patriotic songs or reciting their own poetry. By emphasizing the importance of moral obligations to nation-building, the lectures motivate students to strive for their neighborhoods and the nation.</w:t>
      </w:r>
      <w:r>
        <w:rPr>
          <w:rFonts w:ascii="Times New Roman" w:hAnsi="Times New Roman" w:cs="Times New Roman"/>
          <w:sz w:val="24"/>
        </w:rPr>
        <w:t xml:space="preserve"> </w:t>
      </w:r>
      <w:r w:rsidRPr="00FF45DE">
        <w:rPr>
          <w:rFonts w:ascii="Times New Roman" w:hAnsi="Times New Roman" w:cs="Times New Roman"/>
          <w:sz w:val="24"/>
        </w:rPr>
        <w:t>Since humanism is the cornerstone of our nation and its constitution, it is essential to teach young people how to be better people in order to promote their general growth. Throughout college, faculty mentors assist students in becoming responsible adults. Instilling constitutional awareness in students also involves educating them about their right to vote.</w:t>
      </w:r>
    </w:p>
    <w:p w:rsidR="00E114CE" w:rsidRDefault="00E114CE" w:rsidP="00FF45DE">
      <w:pPr>
        <w:spacing w:line="360" w:lineRule="auto"/>
        <w:jc w:val="both"/>
        <w:rPr>
          <w:rFonts w:ascii="Times New Roman" w:hAnsi="Times New Roman" w:cs="Times New Roman"/>
          <w:sz w:val="24"/>
        </w:rPr>
      </w:pPr>
    </w:p>
    <w:p w:rsidR="00E114CE" w:rsidRPr="00E114CE" w:rsidRDefault="00E114CE" w:rsidP="00E114CE">
      <w:pPr>
        <w:spacing w:line="360" w:lineRule="auto"/>
        <w:jc w:val="both"/>
        <w:rPr>
          <w:rFonts w:ascii="Times New Roman" w:hAnsi="Times New Roman" w:cs="Times New Roman"/>
          <w:b/>
          <w:sz w:val="24"/>
        </w:rPr>
      </w:pPr>
      <w:r w:rsidRPr="00E114CE">
        <w:rPr>
          <w:rFonts w:ascii="Times New Roman" w:hAnsi="Times New Roman" w:cs="Times New Roman"/>
          <w:b/>
          <w:sz w:val="24"/>
        </w:rPr>
        <w:lastRenderedPageBreak/>
        <w:t>7.1.11 Institution celebrates / organizes national and international commemorative days, events</w:t>
      </w:r>
      <w:r>
        <w:rPr>
          <w:rFonts w:ascii="Times New Roman" w:hAnsi="Times New Roman" w:cs="Times New Roman"/>
          <w:b/>
          <w:sz w:val="24"/>
        </w:rPr>
        <w:t xml:space="preserve"> </w:t>
      </w:r>
      <w:r w:rsidRPr="00E114CE">
        <w:rPr>
          <w:rFonts w:ascii="Times New Roman" w:hAnsi="Times New Roman" w:cs="Times New Roman"/>
          <w:b/>
          <w:sz w:val="24"/>
        </w:rPr>
        <w:t>and festivals</w:t>
      </w:r>
    </w:p>
    <w:p w:rsidR="00E114CE" w:rsidRDefault="00E114CE" w:rsidP="00E114CE">
      <w:pPr>
        <w:spacing w:line="360" w:lineRule="auto"/>
        <w:jc w:val="both"/>
        <w:rPr>
          <w:rFonts w:ascii="Times New Roman" w:hAnsi="Times New Roman" w:cs="Times New Roman"/>
          <w:sz w:val="24"/>
        </w:rPr>
      </w:pPr>
      <w:r>
        <w:rPr>
          <w:rFonts w:ascii="Times New Roman" w:hAnsi="Times New Roman" w:cs="Times New Roman"/>
          <w:sz w:val="24"/>
        </w:rPr>
        <w:t>The institute observes</w:t>
      </w:r>
      <w:r w:rsidRPr="00E114CE">
        <w:rPr>
          <w:rFonts w:ascii="Times New Roman" w:hAnsi="Times New Roman" w:cs="Times New Roman"/>
          <w:sz w:val="24"/>
        </w:rPr>
        <w:t xml:space="preserve"> a series of commemorative events celebrated throughout the academic year, highlighting diverse themes such as health, environment, culture, and education. Doctor’s Day recognize</w:t>
      </w:r>
      <w:r>
        <w:rPr>
          <w:rFonts w:ascii="Times New Roman" w:hAnsi="Times New Roman" w:cs="Times New Roman"/>
          <w:sz w:val="24"/>
        </w:rPr>
        <w:t>s</w:t>
      </w:r>
      <w:r w:rsidRPr="00E114CE">
        <w:rPr>
          <w:rFonts w:ascii="Times New Roman" w:hAnsi="Times New Roman" w:cs="Times New Roman"/>
          <w:sz w:val="24"/>
        </w:rPr>
        <w:t xml:space="preserve"> the invaluable contributions of medical professionals, while Forest Week emphasize</w:t>
      </w:r>
      <w:r>
        <w:rPr>
          <w:rFonts w:ascii="Times New Roman" w:hAnsi="Times New Roman" w:cs="Times New Roman"/>
          <w:sz w:val="24"/>
        </w:rPr>
        <w:t>s</w:t>
      </w:r>
      <w:r w:rsidRPr="00E114CE">
        <w:rPr>
          <w:rFonts w:ascii="Times New Roman" w:hAnsi="Times New Roman" w:cs="Times New Roman"/>
          <w:sz w:val="24"/>
        </w:rPr>
        <w:t xml:space="preserve"> the importance of environmental conservation. National Sports Day </w:t>
      </w:r>
      <w:r>
        <w:rPr>
          <w:rFonts w:ascii="Times New Roman" w:hAnsi="Times New Roman" w:cs="Times New Roman"/>
          <w:sz w:val="24"/>
        </w:rPr>
        <w:t>celebrates</w:t>
      </w:r>
      <w:r w:rsidRPr="00E114CE">
        <w:rPr>
          <w:rFonts w:ascii="Times New Roman" w:hAnsi="Times New Roman" w:cs="Times New Roman"/>
          <w:sz w:val="24"/>
        </w:rPr>
        <w:t xml:space="preserve"> physical fitness and sportsmanship, and the 3rd National Pharmacovigilance Week, along with World Pharmacist Day, focuse</w:t>
      </w:r>
      <w:r>
        <w:rPr>
          <w:rFonts w:ascii="Times New Roman" w:hAnsi="Times New Roman" w:cs="Times New Roman"/>
          <w:sz w:val="24"/>
        </w:rPr>
        <w:t>s</w:t>
      </w:r>
      <w:r w:rsidRPr="00E114CE">
        <w:rPr>
          <w:rFonts w:ascii="Times New Roman" w:hAnsi="Times New Roman" w:cs="Times New Roman"/>
          <w:sz w:val="24"/>
        </w:rPr>
        <w:t xml:space="preserve"> on promoting pharmacovigilance and the pivotal role of pharmacists in healthcare.</w:t>
      </w:r>
      <w:r>
        <w:rPr>
          <w:rFonts w:ascii="Times New Roman" w:hAnsi="Times New Roman" w:cs="Times New Roman"/>
          <w:sz w:val="24"/>
        </w:rPr>
        <w:t xml:space="preserve"> </w:t>
      </w:r>
      <w:r w:rsidRPr="00E114CE">
        <w:rPr>
          <w:rFonts w:ascii="Times New Roman" w:hAnsi="Times New Roman" w:cs="Times New Roman"/>
          <w:sz w:val="24"/>
        </w:rPr>
        <w:t>Vigilance Awareness Week underscore</w:t>
      </w:r>
      <w:r>
        <w:rPr>
          <w:rFonts w:ascii="Times New Roman" w:hAnsi="Times New Roman" w:cs="Times New Roman"/>
          <w:sz w:val="24"/>
        </w:rPr>
        <w:t>s</w:t>
      </w:r>
      <w:r w:rsidRPr="00E114CE">
        <w:rPr>
          <w:rFonts w:ascii="Times New Roman" w:hAnsi="Times New Roman" w:cs="Times New Roman"/>
          <w:sz w:val="24"/>
        </w:rPr>
        <w:t xml:space="preserve"> the significance of integrity and vigilance in both personal and professional spheres. National Youth Day celebrate</w:t>
      </w:r>
      <w:r>
        <w:rPr>
          <w:rFonts w:ascii="Times New Roman" w:hAnsi="Times New Roman" w:cs="Times New Roman"/>
          <w:sz w:val="24"/>
        </w:rPr>
        <w:t>s</w:t>
      </w:r>
      <w:r w:rsidRPr="00E114CE">
        <w:rPr>
          <w:rFonts w:ascii="Times New Roman" w:hAnsi="Times New Roman" w:cs="Times New Roman"/>
          <w:sz w:val="24"/>
        </w:rPr>
        <w:t xml:space="preserve"> the energy and ideals of young people, inspiring their active role in societal progress. International Mother Language Day </w:t>
      </w:r>
      <w:r w:rsidR="004D5751" w:rsidRPr="00E114CE">
        <w:rPr>
          <w:rFonts w:ascii="Times New Roman" w:hAnsi="Times New Roman" w:cs="Times New Roman"/>
          <w:sz w:val="24"/>
        </w:rPr>
        <w:t>promot</w:t>
      </w:r>
      <w:r w:rsidR="004D5751">
        <w:rPr>
          <w:rFonts w:ascii="Times New Roman" w:hAnsi="Times New Roman" w:cs="Times New Roman"/>
          <w:sz w:val="24"/>
        </w:rPr>
        <w:t>es</w:t>
      </w:r>
      <w:r w:rsidRPr="00E114CE">
        <w:rPr>
          <w:rFonts w:ascii="Times New Roman" w:hAnsi="Times New Roman" w:cs="Times New Roman"/>
          <w:sz w:val="24"/>
        </w:rPr>
        <w:t xml:space="preserve"> linguistic diversity and cultural heritage, while National Science Day showcase</w:t>
      </w:r>
      <w:r>
        <w:rPr>
          <w:rFonts w:ascii="Times New Roman" w:hAnsi="Times New Roman" w:cs="Times New Roman"/>
          <w:sz w:val="24"/>
        </w:rPr>
        <w:t>s</w:t>
      </w:r>
      <w:r w:rsidRPr="00E114CE">
        <w:rPr>
          <w:rFonts w:ascii="Times New Roman" w:hAnsi="Times New Roman" w:cs="Times New Roman"/>
          <w:sz w:val="24"/>
        </w:rPr>
        <w:t xml:space="preserve"> scientific achievements, encouraging interest in innovation.</w:t>
      </w:r>
      <w:r>
        <w:rPr>
          <w:rFonts w:ascii="Times New Roman" w:hAnsi="Times New Roman" w:cs="Times New Roman"/>
          <w:sz w:val="24"/>
        </w:rPr>
        <w:t xml:space="preserve"> </w:t>
      </w:r>
      <w:r w:rsidRPr="00E114CE">
        <w:rPr>
          <w:rFonts w:ascii="Times New Roman" w:hAnsi="Times New Roman" w:cs="Times New Roman"/>
          <w:sz w:val="24"/>
        </w:rPr>
        <w:t>Nation</w:t>
      </w:r>
      <w:r>
        <w:rPr>
          <w:rFonts w:ascii="Times New Roman" w:hAnsi="Times New Roman" w:cs="Times New Roman"/>
          <w:sz w:val="24"/>
        </w:rPr>
        <w:t>al Pharmacy Education Day honors</w:t>
      </w:r>
      <w:r w:rsidRPr="00E114CE">
        <w:rPr>
          <w:rFonts w:ascii="Times New Roman" w:hAnsi="Times New Roman" w:cs="Times New Roman"/>
          <w:sz w:val="24"/>
        </w:rPr>
        <w:t xml:space="preserve"> advancements in pharmacy education, fostering professional growth. World Health Day raise</w:t>
      </w:r>
      <w:r>
        <w:rPr>
          <w:rFonts w:ascii="Times New Roman" w:hAnsi="Times New Roman" w:cs="Times New Roman"/>
          <w:sz w:val="24"/>
        </w:rPr>
        <w:t>s</w:t>
      </w:r>
      <w:r w:rsidRPr="00E114CE">
        <w:rPr>
          <w:rFonts w:ascii="Times New Roman" w:hAnsi="Times New Roman" w:cs="Times New Roman"/>
          <w:sz w:val="24"/>
        </w:rPr>
        <w:t xml:space="preserve"> awareness about global health challenges and encouraged healthy lifestyles. World Environment Day reinforce</w:t>
      </w:r>
      <w:r>
        <w:rPr>
          <w:rFonts w:ascii="Times New Roman" w:hAnsi="Times New Roman" w:cs="Times New Roman"/>
          <w:sz w:val="24"/>
        </w:rPr>
        <w:t>s</w:t>
      </w:r>
      <w:r w:rsidRPr="00E114CE">
        <w:rPr>
          <w:rFonts w:ascii="Times New Roman" w:hAnsi="Times New Roman" w:cs="Times New Roman"/>
          <w:sz w:val="24"/>
        </w:rPr>
        <w:t xml:space="preserve"> the need for sustainable practices and environmental stewardship. Lastly, World Music Day and International Yoga Day </w:t>
      </w:r>
      <w:proofErr w:type="gramStart"/>
      <w:r w:rsidRPr="00E114CE">
        <w:rPr>
          <w:rFonts w:ascii="Times New Roman" w:hAnsi="Times New Roman" w:cs="Times New Roman"/>
          <w:sz w:val="24"/>
        </w:rPr>
        <w:t>highlight</w:t>
      </w:r>
      <w:r>
        <w:rPr>
          <w:rFonts w:ascii="Times New Roman" w:hAnsi="Times New Roman" w:cs="Times New Roman"/>
          <w:sz w:val="24"/>
        </w:rPr>
        <w:t>s</w:t>
      </w:r>
      <w:proofErr w:type="gramEnd"/>
      <w:r w:rsidRPr="00E114CE">
        <w:rPr>
          <w:rFonts w:ascii="Times New Roman" w:hAnsi="Times New Roman" w:cs="Times New Roman"/>
          <w:sz w:val="24"/>
        </w:rPr>
        <w:t xml:space="preserve"> the importance of music and yoga for holistic well-being and cultural unity. </w:t>
      </w:r>
      <w:r w:rsidR="00B073BF" w:rsidRPr="00E114CE">
        <w:rPr>
          <w:rFonts w:ascii="Times New Roman" w:hAnsi="Times New Roman" w:cs="Times New Roman"/>
          <w:sz w:val="24"/>
        </w:rPr>
        <w:t>Th</w:t>
      </w:r>
      <w:r w:rsidR="00B073BF">
        <w:rPr>
          <w:rFonts w:ascii="Times New Roman" w:hAnsi="Times New Roman" w:cs="Times New Roman"/>
          <w:sz w:val="24"/>
        </w:rPr>
        <w:t>e</w:t>
      </w:r>
      <w:r w:rsidR="00B073BF" w:rsidRPr="00E114CE">
        <w:rPr>
          <w:rFonts w:ascii="Times New Roman" w:hAnsi="Times New Roman" w:cs="Times New Roman"/>
          <w:sz w:val="24"/>
        </w:rPr>
        <w:t>s</w:t>
      </w:r>
      <w:r w:rsidR="00B073BF">
        <w:rPr>
          <w:rFonts w:ascii="Times New Roman" w:hAnsi="Times New Roman" w:cs="Times New Roman"/>
          <w:sz w:val="24"/>
        </w:rPr>
        <w:t>e</w:t>
      </w:r>
      <w:r w:rsidR="00B073BF" w:rsidRPr="00E114CE">
        <w:rPr>
          <w:rFonts w:ascii="Times New Roman" w:hAnsi="Times New Roman" w:cs="Times New Roman"/>
          <w:sz w:val="24"/>
        </w:rPr>
        <w:t xml:space="preserve"> event</w:t>
      </w:r>
      <w:r w:rsidR="00B073BF">
        <w:rPr>
          <w:rFonts w:ascii="Times New Roman" w:hAnsi="Times New Roman" w:cs="Times New Roman"/>
          <w:sz w:val="24"/>
        </w:rPr>
        <w:t>s</w:t>
      </w:r>
      <w:r w:rsidR="00B073BF" w:rsidRPr="00E114CE">
        <w:rPr>
          <w:rFonts w:ascii="Times New Roman" w:hAnsi="Times New Roman" w:cs="Times New Roman"/>
          <w:sz w:val="24"/>
        </w:rPr>
        <w:t xml:space="preserve"> collectively nurture</w:t>
      </w:r>
      <w:r w:rsidRPr="00E114CE">
        <w:rPr>
          <w:rFonts w:ascii="Times New Roman" w:hAnsi="Times New Roman" w:cs="Times New Roman"/>
          <w:sz w:val="24"/>
        </w:rPr>
        <w:t xml:space="preserve"> awareness, education, and community engagement.</w:t>
      </w:r>
    </w:p>
    <w:p w:rsidR="004C559D" w:rsidRDefault="004C559D" w:rsidP="00A24B95">
      <w:pPr>
        <w:spacing w:line="360" w:lineRule="auto"/>
        <w:jc w:val="both"/>
        <w:rPr>
          <w:rFonts w:ascii="Times New Roman" w:hAnsi="Times New Roman" w:cs="Times New Roman"/>
          <w:b/>
          <w:sz w:val="24"/>
        </w:rPr>
      </w:pPr>
    </w:p>
    <w:p w:rsidR="004C559D" w:rsidRDefault="004C559D" w:rsidP="00A24B95">
      <w:pPr>
        <w:spacing w:line="360" w:lineRule="auto"/>
        <w:jc w:val="both"/>
        <w:rPr>
          <w:rFonts w:ascii="Times New Roman" w:hAnsi="Times New Roman" w:cs="Times New Roman"/>
          <w:b/>
          <w:sz w:val="24"/>
        </w:rPr>
      </w:pPr>
    </w:p>
    <w:p w:rsidR="004C559D" w:rsidRDefault="004C559D" w:rsidP="00A24B95">
      <w:pPr>
        <w:spacing w:line="360" w:lineRule="auto"/>
        <w:jc w:val="both"/>
        <w:rPr>
          <w:rFonts w:ascii="Times New Roman" w:hAnsi="Times New Roman" w:cs="Times New Roman"/>
          <w:b/>
          <w:sz w:val="24"/>
        </w:rPr>
      </w:pPr>
    </w:p>
    <w:p w:rsidR="004C559D" w:rsidRDefault="004C559D" w:rsidP="00A24B95">
      <w:pPr>
        <w:spacing w:line="360" w:lineRule="auto"/>
        <w:jc w:val="both"/>
        <w:rPr>
          <w:rFonts w:ascii="Times New Roman" w:hAnsi="Times New Roman" w:cs="Times New Roman"/>
          <w:b/>
          <w:sz w:val="24"/>
        </w:rPr>
      </w:pPr>
    </w:p>
    <w:p w:rsidR="004C559D" w:rsidRDefault="004C559D" w:rsidP="00A24B95">
      <w:pPr>
        <w:spacing w:line="360" w:lineRule="auto"/>
        <w:jc w:val="both"/>
        <w:rPr>
          <w:rFonts w:ascii="Times New Roman" w:hAnsi="Times New Roman" w:cs="Times New Roman"/>
          <w:b/>
          <w:sz w:val="24"/>
        </w:rPr>
      </w:pPr>
    </w:p>
    <w:p w:rsidR="004C559D" w:rsidRDefault="004C559D" w:rsidP="00A24B95">
      <w:pPr>
        <w:spacing w:line="360" w:lineRule="auto"/>
        <w:jc w:val="both"/>
        <w:rPr>
          <w:rFonts w:ascii="Times New Roman" w:hAnsi="Times New Roman" w:cs="Times New Roman"/>
          <w:b/>
          <w:sz w:val="24"/>
        </w:rPr>
      </w:pPr>
    </w:p>
    <w:p w:rsidR="004C559D" w:rsidRDefault="004C559D" w:rsidP="00A24B95">
      <w:pPr>
        <w:spacing w:line="360" w:lineRule="auto"/>
        <w:jc w:val="both"/>
        <w:rPr>
          <w:rFonts w:ascii="Times New Roman" w:hAnsi="Times New Roman" w:cs="Times New Roman"/>
          <w:b/>
          <w:sz w:val="24"/>
        </w:rPr>
      </w:pPr>
    </w:p>
    <w:p w:rsidR="004C559D" w:rsidRDefault="004C559D" w:rsidP="00A24B95">
      <w:pPr>
        <w:spacing w:line="360" w:lineRule="auto"/>
        <w:jc w:val="both"/>
        <w:rPr>
          <w:rFonts w:ascii="Times New Roman" w:hAnsi="Times New Roman" w:cs="Times New Roman"/>
          <w:b/>
          <w:sz w:val="24"/>
        </w:rPr>
      </w:pPr>
    </w:p>
    <w:p w:rsidR="00A24B95" w:rsidRPr="00A24B95" w:rsidRDefault="00A24B95" w:rsidP="00A24B95">
      <w:pPr>
        <w:spacing w:line="360" w:lineRule="auto"/>
        <w:jc w:val="both"/>
        <w:rPr>
          <w:rFonts w:ascii="Times New Roman" w:hAnsi="Times New Roman" w:cs="Times New Roman"/>
          <w:b/>
          <w:sz w:val="24"/>
        </w:rPr>
      </w:pPr>
      <w:bookmarkStart w:id="0" w:name="_GoBack"/>
      <w:bookmarkEnd w:id="0"/>
      <w:r w:rsidRPr="00A24B95">
        <w:rPr>
          <w:rFonts w:ascii="Times New Roman" w:hAnsi="Times New Roman" w:cs="Times New Roman"/>
          <w:b/>
          <w:sz w:val="24"/>
        </w:rPr>
        <w:lastRenderedPageBreak/>
        <w:t>7.2 - Best Practices</w:t>
      </w:r>
    </w:p>
    <w:p w:rsidR="00A24B95" w:rsidRPr="00A24B95" w:rsidRDefault="00A24B95" w:rsidP="00A24B95">
      <w:pPr>
        <w:spacing w:line="360" w:lineRule="auto"/>
        <w:jc w:val="both"/>
        <w:rPr>
          <w:rFonts w:ascii="Times New Roman" w:hAnsi="Times New Roman" w:cs="Times New Roman"/>
          <w:b/>
          <w:sz w:val="24"/>
        </w:rPr>
      </w:pPr>
      <w:r w:rsidRPr="00A24B95">
        <w:rPr>
          <w:rFonts w:ascii="Times New Roman" w:hAnsi="Times New Roman" w:cs="Times New Roman"/>
          <w:b/>
          <w:sz w:val="24"/>
        </w:rPr>
        <w:t>7.2.1 - Describe two best practices successfully implemented by the Institution as per NAAC</w:t>
      </w:r>
      <w:r>
        <w:rPr>
          <w:rFonts w:ascii="Times New Roman" w:hAnsi="Times New Roman" w:cs="Times New Roman"/>
          <w:b/>
          <w:sz w:val="24"/>
        </w:rPr>
        <w:t xml:space="preserve"> </w:t>
      </w:r>
      <w:r w:rsidRPr="00A24B95">
        <w:rPr>
          <w:rFonts w:ascii="Times New Roman" w:hAnsi="Times New Roman" w:cs="Times New Roman"/>
          <w:b/>
          <w:sz w:val="24"/>
        </w:rPr>
        <w:t>format provided in the Manual.</w:t>
      </w:r>
    </w:p>
    <w:p w:rsidR="00A24B95" w:rsidRDefault="00A24B95" w:rsidP="00A24B95">
      <w:pPr>
        <w:spacing w:line="360" w:lineRule="auto"/>
        <w:jc w:val="both"/>
        <w:rPr>
          <w:rFonts w:ascii="Times New Roman" w:hAnsi="Times New Roman" w:cs="Times New Roman"/>
          <w:b/>
          <w:sz w:val="24"/>
        </w:rPr>
      </w:pPr>
      <w:r w:rsidRPr="00A24B95">
        <w:rPr>
          <w:rFonts w:ascii="Times New Roman" w:hAnsi="Times New Roman" w:cs="Times New Roman"/>
          <w:b/>
          <w:sz w:val="24"/>
        </w:rPr>
        <w:t>BEST PRACTICE I: TRAINING, PLACEMENT &amp; ENTREPRENEURSHIP DRIVE</w:t>
      </w:r>
    </w:p>
    <w:p w:rsidR="00A24B95" w:rsidRPr="00A24B95" w:rsidRDefault="00A24B95" w:rsidP="00A24B95">
      <w:pPr>
        <w:spacing w:line="360" w:lineRule="auto"/>
        <w:jc w:val="both"/>
        <w:rPr>
          <w:rFonts w:ascii="Times New Roman" w:hAnsi="Times New Roman" w:cs="Times New Roman"/>
          <w:sz w:val="24"/>
        </w:rPr>
      </w:pPr>
      <w:r w:rsidRPr="00A24B95">
        <w:rPr>
          <w:rFonts w:ascii="Times New Roman" w:hAnsi="Times New Roman" w:cs="Times New Roman"/>
          <w:sz w:val="24"/>
        </w:rPr>
        <w:t>The practice's goals are to provide practical training, internships, and career chances, satisfy job expectations, and enable students to pursue entrepreneurship.</w:t>
      </w:r>
    </w:p>
    <w:p w:rsidR="00A24B95" w:rsidRPr="00A24B95" w:rsidRDefault="00A24B95" w:rsidP="00A24B95">
      <w:pPr>
        <w:spacing w:line="360" w:lineRule="auto"/>
        <w:jc w:val="both"/>
        <w:rPr>
          <w:rFonts w:ascii="Times New Roman" w:hAnsi="Times New Roman" w:cs="Times New Roman"/>
          <w:sz w:val="24"/>
        </w:rPr>
      </w:pPr>
      <w:r w:rsidRPr="00A24B95">
        <w:rPr>
          <w:rFonts w:ascii="Times New Roman" w:hAnsi="Times New Roman" w:cs="Times New Roman"/>
          <w:sz w:val="24"/>
        </w:rPr>
        <w:t>In this regard, the college's T&amp;P and E-Cell groom students, teach them entrepreneurship, and prepare them for the workforce.</w:t>
      </w:r>
    </w:p>
    <w:p w:rsidR="00A24B95" w:rsidRPr="00A24B95" w:rsidRDefault="00A24B95" w:rsidP="00A24B95">
      <w:pPr>
        <w:spacing w:line="360" w:lineRule="auto"/>
        <w:jc w:val="both"/>
        <w:rPr>
          <w:rFonts w:ascii="Times New Roman" w:hAnsi="Times New Roman" w:cs="Times New Roman"/>
          <w:sz w:val="24"/>
        </w:rPr>
      </w:pPr>
      <w:r w:rsidRPr="00A24B95">
        <w:rPr>
          <w:rFonts w:ascii="Times New Roman" w:hAnsi="Times New Roman" w:cs="Times New Roman"/>
          <w:sz w:val="24"/>
        </w:rPr>
        <w:t>As part of the practice, the Training &amp; Placement Officer (TPO) plans placement drives, works with hospitals and businesses, and coaches’ students on corporate aptitude and resumes.</w:t>
      </w:r>
    </w:p>
    <w:p w:rsidR="00A24B95" w:rsidRPr="00A24B95" w:rsidRDefault="00A24B95" w:rsidP="00A24B95">
      <w:pPr>
        <w:spacing w:line="360" w:lineRule="auto"/>
        <w:jc w:val="both"/>
        <w:rPr>
          <w:rFonts w:ascii="Times New Roman" w:hAnsi="Times New Roman" w:cs="Times New Roman"/>
          <w:sz w:val="24"/>
        </w:rPr>
      </w:pPr>
      <w:r w:rsidRPr="00A24B95">
        <w:rPr>
          <w:rFonts w:ascii="Times New Roman" w:hAnsi="Times New Roman" w:cs="Times New Roman"/>
          <w:sz w:val="24"/>
        </w:rPr>
        <w:t xml:space="preserve">Increased employability and improved education attaining an NBA accreditation rating </w:t>
      </w:r>
      <w:r>
        <w:rPr>
          <w:rFonts w:ascii="Times New Roman" w:hAnsi="Times New Roman" w:cs="Times New Roman"/>
          <w:sz w:val="24"/>
        </w:rPr>
        <w:t>94</w:t>
      </w:r>
      <w:r w:rsidRPr="00A24B95">
        <w:rPr>
          <w:rFonts w:ascii="Times New Roman" w:hAnsi="Times New Roman" w:cs="Times New Roman"/>
          <w:sz w:val="24"/>
          <w:vertAlign w:val="superscript"/>
        </w:rPr>
        <w:t>th</w:t>
      </w:r>
      <w:r>
        <w:rPr>
          <w:rFonts w:ascii="Times New Roman" w:hAnsi="Times New Roman" w:cs="Times New Roman"/>
          <w:sz w:val="24"/>
        </w:rPr>
        <w:t xml:space="preserve"> among</w:t>
      </w:r>
      <w:r w:rsidRPr="00A24B95">
        <w:rPr>
          <w:rFonts w:ascii="Times New Roman" w:hAnsi="Times New Roman" w:cs="Times New Roman"/>
          <w:sz w:val="24"/>
        </w:rPr>
        <w:t xml:space="preserve"> India's Top 100 Colleges of Pharmacy </w:t>
      </w:r>
      <w:r>
        <w:rPr>
          <w:rFonts w:ascii="Times New Roman" w:hAnsi="Times New Roman" w:cs="Times New Roman"/>
          <w:sz w:val="24"/>
        </w:rPr>
        <w:t xml:space="preserve">as per NIRF rankings </w:t>
      </w:r>
      <w:r w:rsidRPr="00A24B95">
        <w:rPr>
          <w:rFonts w:ascii="Times New Roman" w:hAnsi="Times New Roman" w:cs="Times New Roman"/>
          <w:sz w:val="24"/>
        </w:rPr>
        <w:t>demonstrate the practice's success.</w:t>
      </w:r>
    </w:p>
    <w:p w:rsidR="00A24B95" w:rsidRPr="00A24B95" w:rsidRDefault="00A24B95" w:rsidP="00A24B95">
      <w:pPr>
        <w:spacing w:line="360" w:lineRule="auto"/>
        <w:jc w:val="both"/>
        <w:rPr>
          <w:rFonts w:ascii="Times New Roman" w:hAnsi="Times New Roman" w:cs="Times New Roman"/>
          <w:sz w:val="24"/>
        </w:rPr>
      </w:pPr>
      <w:r w:rsidRPr="00A24B95">
        <w:rPr>
          <w:rFonts w:ascii="Times New Roman" w:hAnsi="Times New Roman" w:cs="Times New Roman"/>
          <w:sz w:val="24"/>
        </w:rPr>
        <w:t>The state's few flourishing pharmaceutical firms and rural students' low level of English proficiency are issues.</w:t>
      </w:r>
    </w:p>
    <w:p w:rsidR="00A24B95" w:rsidRPr="00A24B95" w:rsidRDefault="00A24B95" w:rsidP="00A24B95">
      <w:pPr>
        <w:spacing w:line="360" w:lineRule="auto"/>
        <w:jc w:val="both"/>
        <w:rPr>
          <w:rFonts w:ascii="Times New Roman" w:hAnsi="Times New Roman" w:cs="Times New Roman"/>
          <w:b/>
          <w:sz w:val="24"/>
        </w:rPr>
      </w:pPr>
      <w:r w:rsidRPr="00A24B95">
        <w:rPr>
          <w:rFonts w:ascii="Times New Roman" w:hAnsi="Times New Roman" w:cs="Times New Roman"/>
          <w:b/>
          <w:sz w:val="24"/>
        </w:rPr>
        <w:t>BEST PRACTICE-II: MENTOR-MENTEE SYSTEM</w:t>
      </w:r>
    </w:p>
    <w:p w:rsidR="00064596" w:rsidRPr="00064596" w:rsidRDefault="00064596" w:rsidP="00064596">
      <w:pPr>
        <w:jc w:val="both"/>
        <w:rPr>
          <w:rFonts w:ascii="Times New Roman" w:hAnsi="Times New Roman" w:cs="Times New Roman"/>
          <w:sz w:val="24"/>
        </w:rPr>
      </w:pPr>
      <w:r>
        <w:rPr>
          <w:rFonts w:ascii="Times New Roman" w:hAnsi="Times New Roman" w:cs="Times New Roman"/>
          <w:sz w:val="24"/>
        </w:rPr>
        <w:t>The goal of the system is m</w:t>
      </w:r>
      <w:r w:rsidRPr="00064596">
        <w:rPr>
          <w:rFonts w:ascii="Times New Roman" w:hAnsi="Times New Roman" w:cs="Times New Roman"/>
          <w:sz w:val="24"/>
        </w:rPr>
        <w:t>onitoring students' overall growth and assisting them in pursuing further education while providing counseling on a range of social concerns.</w:t>
      </w:r>
    </w:p>
    <w:p w:rsidR="00064596" w:rsidRPr="00064596" w:rsidRDefault="00064596" w:rsidP="00064596">
      <w:pPr>
        <w:jc w:val="both"/>
        <w:rPr>
          <w:rFonts w:ascii="Times New Roman" w:hAnsi="Times New Roman" w:cs="Times New Roman"/>
          <w:sz w:val="24"/>
        </w:rPr>
      </w:pPr>
      <w:r w:rsidRPr="00064596">
        <w:rPr>
          <w:rFonts w:ascii="Times New Roman" w:hAnsi="Times New Roman" w:cs="Times New Roman"/>
          <w:sz w:val="24"/>
        </w:rPr>
        <w:t>In this situation, mentoring improves the learning environment, closes the gap between students and families, and assists students from a variety of backgrounds in overcoming obstacles related to their academic performance, social lives, mental health, and finances.</w:t>
      </w:r>
    </w:p>
    <w:p w:rsidR="00064596" w:rsidRPr="00064596" w:rsidRDefault="00064596" w:rsidP="00064596">
      <w:pPr>
        <w:jc w:val="both"/>
        <w:rPr>
          <w:rFonts w:ascii="Times New Roman" w:hAnsi="Times New Roman" w:cs="Times New Roman"/>
          <w:sz w:val="24"/>
        </w:rPr>
      </w:pPr>
      <w:r w:rsidRPr="00064596">
        <w:rPr>
          <w:rFonts w:ascii="Times New Roman" w:hAnsi="Times New Roman" w:cs="Times New Roman"/>
          <w:sz w:val="24"/>
        </w:rPr>
        <w:t>Upon admission, students are paired with faculty mentors who will help them in their academic journey.</w:t>
      </w:r>
    </w:p>
    <w:p w:rsidR="00064596" w:rsidRDefault="00064596" w:rsidP="00064596">
      <w:pPr>
        <w:jc w:val="both"/>
        <w:rPr>
          <w:rFonts w:ascii="Times New Roman" w:hAnsi="Times New Roman" w:cs="Times New Roman"/>
          <w:sz w:val="24"/>
        </w:rPr>
      </w:pPr>
      <w:r w:rsidRPr="00064596">
        <w:rPr>
          <w:rFonts w:ascii="Times New Roman" w:hAnsi="Times New Roman" w:cs="Times New Roman"/>
          <w:sz w:val="24"/>
        </w:rPr>
        <w:t>Better dedication, enhanced interpersonal abilities, and parental involvement in the process are indicators of success.</w:t>
      </w:r>
    </w:p>
    <w:p w:rsidR="00E108B2" w:rsidRPr="00E108B2" w:rsidRDefault="00E108B2" w:rsidP="00E108B2">
      <w:pPr>
        <w:jc w:val="both"/>
        <w:rPr>
          <w:rFonts w:ascii="Times New Roman" w:hAnsi="Times New Roman" w:cs="Times New Roman"/>
          <w:sz w:val="24"/>
        </w:rPr>
      </w:pPr>
      <w:r w:rsidRPr="00E108B2">
        <w:rPr>
          <w:rFonts w:ascii="Times New Roman" w:hAnsi="Times New Roman" w:cs="Times New Roman"/>
          <w:sz w:val="24"/>
        </w:rPr>
        <w:t>If a student is absent due to a medical issue, he or she must submit a medical certificate to the concerned mentor on the day of returning to college.</w:t>
      </w:r>
    </w:p>
    <w:p w:rsidR="00E108B2" w:rsidRPr="00E108B2" w:rsidRDefault="00E108B2" w:rsidP="00E108B2">
      <w:pPr>
        <w:jc w:val="both"/>
        <w:rPr>
          <w:rFonts w:ascii="Times New Roman" w:hAnsi="Times New Roman" w:cs="Times New Roman"/>
          <w:sz w:val="24"/>
        </w:rPr>
      </w:pPr>
      <w:r>
        <w:rPr>
          <w:rFonts w:ascii="Times New Roman" w:hAnsi="Times New Roman" w:cs="Times New Roman"/>
          <w:sz w:val="24"/>
        </w:rPr>
        <w:lastRenderedPageBreak/>
        <w:t>I</w:t>
      </w:r>
      <w:r w:rsidRPr="00E108B2">
        <w:rPr>
          <w:rFonts w:ascii="Times New Roman" w:hAnsi="Times New Roman" w:cs="Times New Roman"/>
          <w:sz w:val="24"/>
        </w:rPr>
        <w:t xml:space="preserve">n the </w:t>
      </w:r>
      <w:r>
        <w:rPr>
          <w:rFonts w:ascii="Times New Roman" w:hAnsi="Times New Roman" w:cs="Times New Roman"/>
          <w:sz w:val="24"/>
        </w:rPr>
        <w:t>Faculty Induction Program (</w:t>
      </w:r>
      <w:r w:rsidRPr="00E108B2">
        <w:rPr>
          <w:rFonts w:ascii="Times New Roman" w:hAnsi="Times New Roman" w:cs="Times New Roman"/>
          <w:sz w:val="24"/>
        </w:rPr>
        <w:t>FIP</w:t>
      </w:r>
      <w:r>
        <w:rPr>
          <w:rFonts w:ascii="Times New Roman" w:hAnsi="Times New Roman" w:cs="Times New Roman"/>
          <w:sz w:val="24"/>
        </w:rPr>
        <w:t>)</w:t>
      </w:r>
      <w:r w:rsidRPr="00E108B2">
        <w:rPr>
          <w:rFonts w:ascii="Times New Roman" w:hAnsi="Times New Roman" w:cs="Times New Roman"/>
          <w:sz w:val="24"/>
        </w:rPr>
        <w:t xml:space="preserve">, </w:t>
      </w:r>
      <w:r>
        <w:rPr>
          <w:rFonts w:ascii="Times New Roman" w:hAnsi="Times New Roman" w:cs="Times New Roman"/>
          <w:sz w:val="24"/>
        </w:rPr>
        <w:t>there is</w:t>
      </w:r>
      <w:r w:rsidRPr="00E108B2">
        <w:rPr>
          <w:rFonts w:ascii="Times New Roman" w:hAnsi="Times New Roman" w:cs="Times New Roman"/>
          <w:sz w:val="24"/>
        </w:rPr>
        <w:t xml:space="preserve"> a special session to discuss mentor mentee system among the newly joined faculty members.</w:t>
      </w:r>
    </w:p>
    <w:p w:rsidR="00E108B2" w:rsidRPr="00064596" w:rsidRDefault="00E108B2" w:rsidP="00E108B2">
      <w:pPr>
        <w:jc w:val="both"/>
        <w:rPr>
          <w:rFonts w:ascii="Times New Roman" w:hAnsi="Times New Roman" w:cs="Times New Roman"/>
          <w:sz w:val="24"/>
        </w:rPr>
      </w:pPr>
      <w:r>
        <w:rPr>
          <w:rFonts w:ascii="Times New Roman" w:hAnsi="Times New Roman" w:cs="Times New Roman"/>
          <w:sz w:val="24"/>
        </w:rPr>
        <w:t xml:space="preserve">For effective communication with parents regarding wards’ attendance monitoring, </w:t>
      </w:r>
      <w:r w:rsidRPr="00E108B2">
        <w:rPr>
          <w:rFonts w:ascii="Times New Roman" w:hAnsi="Times New Roman" w:cs="Times New Roman"/>
          <w:sz w:val="24"/>
        </w:rPr>
        <w:t xml:space="preserve">undertaking </w:t>
      </w:r>
      <w:r>
        <w:rPr>
          <w:rFonts w:ascii="Times New Roman" w:hAnsi="Times New Roman" w:cs="Times New Roman"/>
          <w:sz w:val="24"/>
        </w:rPr>
        <w:t xml:space="preserve">is taken </w:t>
      </w:r>
      <w:r w:rsidRPr="00E108B2">
        <w:rPr>
          <w:rFonts w:ascii="Times New Roman" w:hAnsi="Times New Roman" w:cs="Times New Roman"/>
          <w:sz w:val="24"/>
        </w:rPr>
        <w:t>from guardian for poor attendance</w:t>
      </w:r>
      <w:r>
        <w:rPr>
          <w:rFonts w:ascii="Times New Roman" w:hAnsi="Times New Roman" w:cs="Times New Roman"/>
          <w:sz w:val="24"/>
        </w:rPr>
        <w:t>.</w:t>
      </w:r>
    </w:p>
    <w:p w:rsidR="00064596" w:rsidRPr="00064596" w:rsidRDefault="00E108B2" w:rsidP="00064596">
      <w:pPr>
        <w:jc w:val="both"/>
        <w:rPr>
          <w:rFonts w:ascii="Times New Roman" w:hAnsi="Times New Roman" w:cs="Times New Roman"/>
          <w:sz w:val="24"/>
        </w:rPr>
      </w:pPr>
      <w:r>
        <w:rPr>
          <w:rFonts w:ascii="Times New Roman" w:hAnsi="Times New Roman" w:cs="Times New Roman"/>
          <w:sz w:val="24"/>
        </w:rPr>
        <w:t>As a limitation, d</w:t>
      </w:r>
      <w:r w:rsidR="00064596" w:rsidRPr="00064596">
        <w:rPr>
          <w:rFonts w:ascii="Times New Roman" w:hAnsi="Times New Roman" w:cs="Times New Roman"/>
          <w:sz w:val="24"/>
        </w:rPr>
        <w:t xml:space="preserve">ue to their hectic schedules, mentors </w:t>
      </w:r>
      <w:r>
        <w:rPr>
          <w:rFonts w:ascii="Times New Roman" w:hAnsi="Times New Roman" w:cs="Times New Roman"/>
          <w:sz w:val="24"/>
        </w:rPr>
        <w:t xml:space="preserve">at times </w:t>
      </w:r>
      <w:r w:rsidR="00064596" w:rsidRPr="00064596">
        <w:rPr>
          <w:rFonts w:ascii="Times New Roman" w:hAnsi="Times New Roman" w:cs="Times New Roman"/>
          <w:sz w:val="24"/>
        </w:rPr>
        <w:t>find it difficult to de</w:t>
      </w:r>
      <w:r>
        <w:rPr>
          <w:rFonts w:ascii="Times New Roman" w:hAnsi="Times New Roman" w:cs="Times New Roman"/>
          <w:sz w:val="24"/>
        </w:rPr>
        <w:t>vote more time to their mentees which is tried to be overcome through communication beyond college hours.</w:t>
      </w:r>
    </w:p>
    <w:p w:rsidR="00E42525" w:rsidRDefault="00E42525" w:rsidP="00E42525">
      <w:pPr>
        <w:jc w:val="both"/>
        <w:rPr>
          <w:rFonts w:ascii="Times New Roman" w:hAnsi="Times New Roman" w:cs="Times New Roman"/>
          <w:sz w:val="24"/>
        </w:rPr>
      </w:pPr>
    </w:p>
    <w:p w:rsidR="003255C3" w:rsidRPr="00EE47B0" w:rsidRDefault="00EE47B0" w:rsidP="00EE47B0">
      <w:pPr>
        <w:rPr>
          <w:rFonts w:ascii="Times New Roman" w:hAnsi="Times New Roman" w:cs="Times New Roman"/>
          <w:b/>
          <w:sz w:val="24"/>
        </w:rPr>
      </w:pPr>
      <w:r w:rsidRPr="00EE47B0">
        <w:rPr>
          <w:rFonts w:ascii="Times New Roman" w:hAnsi="Times New Roman" w:cs="Times New Roman"/>
          <w:b/>
          <w:sz w:val="24"/>
        </w:rPr>
        <w:t>7.3.1 Portray the performance of the Institution in one area distinctive to its priority and thrust</w:t>
      </w:r>
    </w:p>
    <w:p w:rsidR="00EE47B0" w:rsidRPr="00EE47B0" w:rsidRDefault="00EE47B0" w:rsidP="00EE47B0">
      <w:pPr>
        <w:jc w:val="both"/>
        <w:rPr>
          <w:rFonts w:ascii="Times New Roman" w:hAnsi="Times New Roman" w:cs="Times New Roman"/>
          <w:sz w:val="24"/>
        </w:rPr>
      </w:pPr>
      <w:r w:rsidRPr="00EE47B0">
        <w:rPr>
          <w:rFonts w:ascii="Times New Roman" w:hAnsi="Times New Roman" w:cs="Times New Roman"/>
          <w:sz w:val="24"/>
        </w:rPr>
        <w:t>Dr. B. C. Roy College of Pharmacy &amp; Allied Health Sciences (BCRCP) demonstrates exceptional performance in its commitment to enhancing student skills and career prospects through a range of add-on courses tailored to meet emerging industry demands. These initiatives reflect the institution's focus on equipping students with cutting-edge knowledge in critical fields, aligning with its priority to provide a well-rounded education that prepares graduates for a dynamic professional environment.</w:t>
      </w:r>
    </w:p>
    <w:p w:rsidR="00D6318D" w:rsidRDefault="00D6318D" w:rsidP="00EE47B0">
      <w:pPr>
        <w:jc w:val="both"/>
        <w:rPr>
          <w:rFonts w:ascii="Times New Roman" w:hAnsi="Times New Roman" w:cs="Times New Roman"/>
          <w:sz w:val="24"/>
        </w:rPr>
      </w:pPr>
      <w:r w:rsidRPr="00D6318D">
        <w:rPr>
          <w:rFonts w:ascii="Times New Roman" w:hAnsi="Times New Roman" w:cs="Times New Roman"/>
          <w:sz w:val="24"/>
        </w:rPr>
        <w:t xml:space="preserve">BCRCP offers courses in </w:t>
      </w:r>
      <w:r w:rsidRPr="00D6318D">
        <w:rPr>
          <w:rFonts w:ascii="Times New Roman" w:hAnsi="Times New Roman" w:cs="Times New Roman"/>
          <w:b/>
          <w:sz w:val="24"/>
        </w:rPr>
        <w:t>Python, AI/ML, and Biostatistics</w:t>
      </w:r>
      <w:r w:rsidRPr="00D6318D">
        <w:rPr>
          <w:rFonts w:ascii="Times New Roman" w:hAnsi="Times New Roman" w:cs="Times New Roman"/>
          <w:sz w:val="24"/>
        </w:rPr>
        <w:t xml:space="preserve"> to students beyond college hours. Python courses equip students with programming skills for pharmaceutical and healthcare data analysis, AI/ML courses help them understand and implement machine learning algorithms, and Biostatistics courses teach statistical techniques for designing, analyzing, and interpreting clinical research data. These courses are crucial for drug discovery, personalized medicine, and predictive analytics. BCRCP also provides </w:t>
      </w:r>
      <w:r w:rsidRPr="00D6318D">
        <w:rPr>
          <w:rFonts w:ascii="Times New Roman" w:hAnsi="Times New Roman" w:cs="Times New Roman"/>
          <w:b/>
          <w:sz w:val="24"/>
        </w:rPr>
        <w:t>GPAT Coaching</w:t>
      </w:r>
      <w:r w:rsidRPr="00D6318D">
        <w:rPr>
          <w:rFonts w:ascii="Times New Roman" w:hAnsi="Times New Roman" w:cs="Times New Roman"/>
          <w:sz w:val="24"/>
        </w:rPr>
        <w:t xml:space="preserve"> to students preparing for the GPAT, providing targeted guidance to help them excel in the competitive exam, enhancing their opportunities for advanced studies and career advancement in pharmacy.</w:t>
      </w:r>
    </w:p>
    <w:p w:rsidR="00EE47B0" w:rsidRPr="00EE47B0" w:rsidRDefault="00EE47B0" w:rsidP="00EE47B0">
      <w:pPr>
        <w:jc w:val="both"/>
        <w:rPr>
          <w:rFonts w:ascii="Times New Roman" w:hAnsi="Times New Roman" w:cs="Times New Roman"/>
          <w:sz w:val="24"/>
        </w:rPr>
      </w:pPr>
      <w:r w:rsidRPr="00EE47B0">
        <w:rPr>
          <w:rFonts w:ascii="Times New Roman" w:hAnsi="Times New Roman" w:cs="Times New Roman"/>
          <w:sz w:val="24"/>
        </w:rPr>
        <w:t>These add-on courses not only provide valuable knowledge but also give BCRCP students a competitive edge in the job market, showcasing the institution's forward-thinking approach to education and its dedication to producing skilled, industry-ready professionals.</w:t>
      </w:r>
    </w:p>
    <w:p w:rsidR="00EE47B0" w:rsidRPr="00EE47B0" w:rsidRDefault="00EE47B0" w:rsidP="00EE47B0">
      <w:pPr>
        <w:rPr>
          <w:rFonts w:ascii="Times New Roman" w:hAnsi="Times New Roman" w:cs="Times New Roman"/>
          <w:sz w:val="24"/>
        </w:rPr>
      </w:pPr>
    </w:p>
    <w:p w:rsidR="00EE47B0" w:rsidRPr="00EE47B0" w:rsidRDefault="00EE47B0" w:rsidP="00EE47B0">
      <w:pPr>
        <w:rPr>
          <w:rFonts w:ascii="Times New Roman" w:hAnsi="Times New Roman" w:cs="Times New Roman"/>
          <w:sz w:val="24"/>
        </w:rPr>
      </w:pPr>
    </w:p>
    <w:p w:rsidR="00EE47B0" w:rsidRPr="00EE47B0" w:rsidRDefault="00EE47B0" w:rsidP="00EE47B0">
      <w:pPr>
        <w:rPr>
          <w:rFonts w:ascii="Times New Roman" w:hAnsi="Times New Roman" w:cs="Times New Roman"/>
          <w:sz w:val="24"/>
        </w:rPr>
      </w:pPr>
    </w:p>
    <w:p w:rsidR="00EE47B0" w:rsidRPr="00EE47B0" w:rsidRDefault="00EE47B0" w:rsidP="00EE47B0">
      <w:pPr>
        <w:rPr>
          <w:rFonts w:ascii="Times New Roman" w:hAnsi="Times New Roman" w:cs="Times New Roman"/>
          <w:sz w:val="24"/>
        </w:rPr>
      </w:pPr>
    </w:p>
    <w:p w:rsidR="00EE47B0" w:rsidRPr="00EE47B0" w:rsidRDefault="00EE47B0" w:rsidP="00EE47B0">
      <w:pPr>
        <w:rPr>
          <w:rFonts w:ascii="Times New Roman" w:hAnsi="Times New Roman" w:cs="Times New Roman"/>
          <w:sz w:val="24"/>
        </w:rPr>
      </w:pPr>
    </w:p>
    <w:sectPr w:rsidR="00EE47B0" w:rsidRPr="00EE4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0688"/>
    <w:multiLevelType w:val="hybridMultilevel"/>
    <w:tmpl w:val="7CC2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C24E5"/>
    <w:multiLevelType w:val="hybridMultilevel"/>
    <w:tmpl w:val="3018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86457D"/>
    <w:multiLevelType w:val="hybridMultilevel"/>
    <w:tmpl w:val="06C4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346E97"/>
    <w:multiLevelType w:val="hybridMultilevel"/>
    <w:tmpl w:val="CC7E9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AA2"/>
    <w:rsid w:val="00020C93"/>
    <w:rsid w:val="00064596"/>
    <w:rsid w:val="00127FAD"/>
    <w:rsid w:val="001F1F1D"/>
    <w:rsid w:val="003255C3"/>
    <w:rsid w:val="00350499"/>
    <w:rsid w:val="004C559D"/>
    <w:rsid w:val="004D5751"/>
    <w:rsid w:val="004E24E5"/>
    <w:rsid w:val="00562B95"/>
    <w:rsid w:val="005F5924"/>
    <w:rsid w:val="00643E6E"/>
    <w:rsid w:val="007B0D2A"/>
    <w:rsid w:val="00811AA2"/>
    <w:rsid w:val="00A24B95"/>
    <w:rsid w:val="00A9719D"/>
    <w:rsid w:val="00AD0A9E"/>
    <w:rsid w:val="00B073BF"/>
    <w:rsid w:val="00C86971"/>
    <w:rsid w:val="00CA4FD8"/>
    <w:rsid w:val="00D6318D"/>
    <w:rsid w:val="00E108B2"/>
    <w:rsid w:val="00E114CE"/>
    <w:rsid w:val="00E42525"/>
    <w:rsid w:val="00EE47B0"/>
    <w:rsid w:val="00F25116"/>
    <w:rsid w:val="00FF4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499"/>
    <w:pPr>
      <w:ind w:left="720"/>
      <w:contextualSpacing/>
    </w:pPr>
  </w:style>
  <w:style w:type="character" w:styleId="Hyperlink">
    <w:name w:val="Hyperlink"/>
    <w:basedOn w:val="DefaultParagraphFont"/>
    <w:uiPriority w:val="99"/>
    <w:unhideWhenUsed/>
    <w:rsid w:val="00F251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499"/>
    <w:pPr>
      <w:ind w:left="720"/>
      <w:contextualSpacing/>
    </w:pPr>
  </w:style>
  <w:style w:type="character" w:styleId="Hyperlink">
    <w:name w:val="Hyperlink"/>
    <w:basedOn w:val="DefaultParagraphFont"/>
    <w:uiPriority w:val="99"/>
    <w:unhideWhenUsed/>
    <w:rsid w:val="00F251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rcp.ac.in/gender-equali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6</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2024-12-13T06:23:00Z</dcterms:created>
  <dcterms:modified xsi:type="dcterms:W3CDTF">2024-12-19T10:14:00Z</dcterms:modified>
</cp:coreProperties>
</file>