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foundation follows the Reexamined Educational program of the affiliating university (MAKAUT), a very much arranged class routine or time table to convey the talks and very much legitimate responsibility dispersion according to UGC and PCI educational plan.</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foundation keeps a well progressive system based or hierarchical construction to cultivate instructing learning mood inside the establishment and sticks with its scholastic schedule all over time.</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showing learning teaching method follows Revised Bloom taxonomical classification and is conveyed through ICT empowered homerooms, with general media contents accessible in the institutional site for self-learning.</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organization has embraced sluggish student and high level student strategy to decree the legitimate essential for an understudy's turn of events and consistently re-works itself by gathering inputs, investigating it and making due moves.</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foundation additionally leans toward experiential learning of the understudies by connecting with them in appropriate tasks, field work, temporary job as well as empowering them to partake in different specialized studios, gatherings and so on which is likewise a piece of their Obligatory Extra Prerequisite in the educational plan.</w:t>
      </w:r>
    </w:p>
    <w:p w:rsidR="00000000" w:rsidDel="00000000" w:rsidP="00000000" w:rsidRDefault="00000000" w:rsidRPr="00000000" w14:paraId="00000006">
      <w:pPr>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6) Different Add on courses support the educational plan conveyance by the establishment</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cVAKrF+v/A7f88XqLFl0ouUYJg==">CgMxLjAyCWguMzBqMHpsbDgAciExdXpJWXNaaExUZ3RFSENpd0RLaFJEamozNE5UMmk1RTU=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2023-12-19T10:06:00Z</dcterms:created>
</cp:coreProperties>
</file>