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7.3 LINK TO WEBSITE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Institutional Distinctiveness: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8"/>
            <w:szCs w:val="28"/>
            <w:u w:val="single"/>
            <w:rtl w:val="0"/>
          </w:rPr>
          <w:t xml:space="preserve">https://bcrcp.ac.in/institutional-distinctiveness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100330</wp:posOffset>
          </wp:positionH>
          <wp:positionV relativeFrom="page">
            <wp:posOffset>333375</wp:posOffset>
          </wp:positionV>
          <wp:extent cx="7550150" cy="10682605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0150" cy="106826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crcp.ac.in/institutional-distinctiveness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zwSxIbPDD0gUVrdaVMhB9a+LGQ==">CgMxLjAyCGguZ2pkZ3hzOAByITFBeG1ia242aS14Zzd0akFBUlU5NXZxQThiZXNIYWpFcg==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