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4.2.1: Library is automated using Integrated Library Management System (ILMS)</w:t>
      </w:r>
    </w:p>
    <w:p w:rsidR="00000000" w:rsidDel="00000000" w:rsidP="00000000" w:rsidRDefault="00000000" w:rsidRPr="00000000" w14:paraId="00000005">
      <w:pPr>
        <w:jc w:val="center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Please click the link:</w:t>
      </w:r>
    </w:p>
    <w:p w:rsidR="00000000" w:rsidDel="00000000" w:rsidP="00000000" w:rsidRDefault="00000000" w:rsidRPr="00000000" w14:paraId="00000007">
      <w:pPr>
        <w:jc w:val="center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05"/>
        <w:gridCol w:w="6420"/>
        <w:tblGridChange w:id="0">
          <w:tblGrid>
            <w:gridCol w:w="4005"/>
            <w:gridCol w:w="6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Links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4.2.1_ILMS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www.bcrcp.ac.in/NAAC/AQAR22-23/CR-4/4.2/4.2.1/4.2.1_ILMS.pdf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color w:val="333333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4" w:w="11909" w:orient="portrait"/>
      <w:pgMar w:bottom="0" w:top="1719" w:left="993" w:right="710" w:header="360" w:footer="7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Bookman Old Style" w:cs="Bookman Old Style" w:eastAsia="Bookman Old Style" w:hAnsi="Bookman Old Style"/>
      <w:b w:val="1"/>
      <w:i w:val="1"/>
      <w:smallCaps w:val="0"/>
      <w:strike w:val="0"/>
      <w:color w:val="000000"/>
      <w:sz w:val="48"/>
      <w:szCs w:val="48"/>
      <w:u w:val="singl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Bookman Old Style" w:cs="Bookman Old Style" w:eastAsia="Bookman Old Style" w:hAnsi="Bookman Old Style"/>
      <w:b w:val="1"/>
      <w:i w:val="0"/>
      <w:smallCaps w:val="0"/>
      <w:strike w:val="0"/>
      <w:color w:val="000000"/>
      <w:sz w:val="48"/>
      <w:szCs w:val="48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Bookman Old Style" w:cs="Bookman Old Style" w:eastAsia="Bookman Old Style" w:hAnsi="Bookman Old Style"/>
      <w:b w:val="1"/>
      <w:i w:val="0"/>
      <w:smallCaps w:val="0"/>
      <w:strike w:val="0"/>
      <w:color w:val="000000"/>
      <w:sz w:val="20"/>
      <w:szCs w:val="20"/>
      <w:u w:val="singl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crcp.ac.in/NAAC/AQAR22-23/CR-4/4.2/4.2.1/4.2.1_ILMS.pdf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bFmJI8qBD4HTazZG2lxe77B4cQ==">CgMxLjAyCGguZ2pkZ3hzOAByITFGdE1BTGkwbUpXaGJPdVJPdHF6OUxvY2pYQTBXZ2xINQ==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