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46" w:rsidRDefault="003E7646" w:rsidP="003E7646">
      <w:pPr>
        <w:pStyle w:val="NormalWeb"/>
      </w:pPr>
      <w:r>
        <w:t>The institute offers effective curriculum delivery with several scientific, methodical, and creative ways in corroboration with modern teaching-learning pedagogy as follows:</w:t>
      </w:r>
    </w:p>
    <w:p w:rsidR="003E7646" w:rsidRDefault="003E7646" w:rsidP="003E7646">
      <w:pPr>
        <w:pStyle w:val="NormalWeb"/>
      </w:pPr>
      <w:r>
        <w:t>1) The institute follows the Revised Curriculum of the Affiliating University (MAKAUT), a well-planned class routine or timetable to deliver the lectures, and well-justified workload distribution as per UGC and PCI curriculum.</w:t>
      </w:r>
    </w:p>
    <w:p w:rsidR="003E7646" w:rsidRDefault="003E7646" w:rsidP="003E7646">
      <w:pPr>
        <w:pStyle w:val="NormalWeb"/>
      </w:pPr>
      <w:r>
        <w:t>2) The institute maintains a hierarchy-based or organizational structure to foster a teaching-learning ambiance within the institute and adheres to its academic calendar throughout the year.</w:t>
      </w:r>
    </w:p>
    <w:p w:rsidR="003E7646" w:rsidRDefault="003E7646" w:rsidP="003E7646">
      <w:pPr>
        <w:pStyle w:val="NormalWeb"/>
      </w:pPr>
      <w:r>
        <w:t>3) The teaching-learning pedagogy follows the Revised Bloom Taxonomy and is delivered via ICT-enabled classrooms, with audio-visual content available on the institutional website for self-learning.</w:t>
      </w:r>
    </w:p>
    <w:p w:rsidR="003E7646" w:rsidRDefault="003E7646" w:rsidP="003E7646">
      <w:pPr>
        <w:pStyle w:val="NormalWeb"/>
      </w:pPr>
      <w:r>
        <w:t>4) The institute has adopted a slow learner and advanced learner policy to adjudge the proper requisite for a student’s development and always re-improves itself by collecting feedback, analyzing it, and taking due actions.</w:t>
      </w:r>
    </w:p>
    <w:p w:rsidR="003E7646" w:rsidRDefault="003E7646" w:rsidP="003E7646">
      <w:pPr>
        <w:pStyle w:val="NormalWeb"/>
      </w:pPr>
      <w:r>
        <w:t>5) The institute also favors experiential learning of the students by engaging them in proper projects, fieldwork, and internships, and encouraging them to participate in various technical workshops, conferences, etc. which is also a part of their Mandatory Additional Requirement in the curriculum.</w:t>
      </w:r>
    </w:p>
    <w:p w:rsidR="003E7646" w:rsidRDefault="003E7646" w:rsidP="003E7646">
      <w:pPr>
        <w:pStyle w:val="NormalWeb"/>
      </w:pPr>
      <w:r>
        <w:t>6) Various Add-on courses support the curriculum delivery by the institute.</w:t>
      </w:r>
    </w:p>
    <w:p w:rsidR="004B2362" w:rsidRPr="003E7646" w:rsidRDefault="004B2362" w:rsidP="003E7646">
      <w:pPr>
        <w:rPr>
          <w:szCs w:val="24"/>
        </w:rPr>
      </w:pPr>
    </w:p>
    <w:sectPr w:rsidR="004B2362" w:rsidRPr="003E7646" w:rsidSect="000B002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362"/>
    <w:rsid w:val="000B0022"/>
    <w:rsid w:val="003E7646"/>
    <w:rsid w:val="004B2362"/>
    <w:rsid w:val="00DC10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22"/>
  </w:style>
  <w:style w:type="paragraph" w:styleId="Heading1">
    <w:name w:val="heading 1"/>
    <w:basedOn w:val="Normal"/>
    <w:next w:val="Normal"/>
    <w:uiPriority w:val="9"/>
    <w:qFormat/>
    <w:rsid w:val="000B0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B0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B0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B0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B0022"/>
    <w:pPr>
      <w:keepNext/>
      <w:keepLines/>
      <w:spacing w:before="220" w:after="40"/>
      <w:outlineLvl w:val="4"/>
    </w:pPr>
    <w:rPr>
      <w:b/>
    </w:rPr>
  </w:style>
  <w:style w:type="paragraph" w:styleId="Heading6">
    <w:name w:val="heading 6"/>
    <w:basedOn w:val="Normal"/>
    <w:next w:val="Normal"/>
    <w:uiPriority w:val="9"/>
    <w:semiHidden/>
    <w:unhideWhenUsed/>
    <w:qFormat/>
    <w:rsid w:val="000B0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B0022"/>
    <w:pPr>
      <w:keepNext/>
      <w:keepLines/>
      <w:spacing w:before="480" w:after="120"/>
    </w:pPr>
    <w:rPr>
      <w:b/>
      <w:sz w:val="72"/>
      <w:szCs w:val="72"/>
    </w:rPr>
  </w:style>
  <w:style w:type="paragraph" w:styleId="Subtitle">
    <w:name w:val="Subtitle"/>
    <w:basedOn w:val="Normal"/>
    <w:next w:val="Normal"/>
    <w:uiPriority w:val="11"/>
    <w:qFormat/>
    <w:rsid w:val="000B002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E7646"/>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15641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C+Eq8DVtFocq4fegrvZeEqudQ==">CgMxLjAyCGguZ2pkZ3hzOAByITFzcjdOZ0xQcUtXdkExSC1nZ1J0UmJwRkZaVkFSazNiWg==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PRINCIPAL OFFICE</cp:lastModifiedBy>
  <cp:revision>3</cp:revision>
  <dcterms:created xsi:type="dcterms:W3CDTF">2023-12-19T10:06:00Z</dcterms:created>
  <dcterms:modified xsi:type="dcterms:W3CDTF">2023-12-20T14:52:00Z</dcterms:modified>
</cp:coreProperties>
</file>